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529" w:rsidRDefault="001F75CE">
      <w:pPr>
        <w:rPr>
          <w:sz w:val="40"/>
          <w:szCs w:val="40"/>
        </w:rPr>
      </w:pPr>
      <w:r w:rsidRPr="001F75CE">
        <w:rPr>
          <w:sz w:val="40"/>
          <w:szCs w:val="40"/>
          <w:highlight w:val="yellow"/>
        </w:rPr>
        <w:t>DB #1</w:t>
      </w:r>
    </w:p>
    <w:p w:rsidR="001F75CE" w:rsidRPr="001F75CE" w:rsidRDefault="001F75CE" w:rsidP="001F75CE">
      <w:pPr>
        <w:spacing w:after="0" w:line="240" w:lineRule="auto"/>
        <w:rPr>
          <w:rFonts w:ascii="Times New Roman" w:eastAsia="Times New Roman" w:hAnsi="Times New Roman" w:cs="Times New Roman"/>
          <w:sz w:val="24"/>
          <w:szCs w:val="24"/>
        </w:rPr>
      </w:pPr>
      <w:proofErr w:type="spellStart"/>
      <w:r w:rsidRPr="001F75CE">
        <w:rPr>
          <w:rFonts w:ascii="Times New Roman" w:eastAsia="Times New Roman" w:hAnsi="Times New Roman" w:cs="Times New Roman"/>
          <w:sz w:val="24"/>
          <w:szCs w:val="24"/>
        </w:rPr>
        <w:t>Kirsti</w:t>
      </w:r>
      <w:proofErr w:type="spellEnd"/>
      <w:r w:rsidRPr="001F75CE">
        <w:rPr>
          <w:rFonts w:ascii="Times New Roman" w:eastAsia="Times New Roman" w:hAnsi="Times New Roman" w:cs="Times New Roman"/>
          <w:sz w:val="24"/>
          <w:szCs w:val="24"/>
        </w:rPr>
        <w:t xml:space="preserve"> Matson </w:t>
      </w:r>
    </w:p>
    <w:p w:rsidR="001F75CE" w:rsidRPr="001F75CE" w:rsidRDefault="001F75CE" w:rsidP="001F75CE">
      <w:pPr>
        <w:spacing w:after="0" w:line="240" w:lineRule="auto"/>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xml:space="preserve">DB 2 </w:t>
      </w:r>
    </w:p>
    <w:p w:rsidR="001F75CE" w:rsidRPr="001F75CE" w:rsidRDefault="001F75CE" w:rsidP="001F75CE">
      <w:pPr>
        <w:spacing w:after="0" w:line="240" w:lineRule="auto"/>
        <w:rPr>
          <w:rFonts w:ascii="Times New Roman" w:eastAsia="Times New Roman" w:hAnsi="Times New Roman" w:cs="Times New Roman"/>
          <w:sz w:val="24"/>
          <w:szCs w:val="24"/>
        </w:rPr>
      </w:pPr>
      <w:hyperlink r:id="rId4" w:history="1">
        <w:r w:rsidRPr="001F75CE">
          <w:rPr>
            <w:rFonts w:ascii="Times New Roman" w:eastAsia="Times New Roman" w:hAnsi="Times New Roman" w:cs="Times New Roman"/>
            <w:color w:val="0000FF"/>
            <w:sz w:val="24"/>
            <w:szCs w:val="24"/>
            <w:u w:val="single"/>
          </w:rPr>
          <w:t>Collapse</w:t>
        </w:r>
      </w:hyperlink>
    </w:p>
    <w:p w:rsidR="001F75CE" w:rsidRPr="001F75CE" w:rsidRDefault="001F75CE" w:rsidP="001F75CE">
      <w:pPr>
        <w:pBdr>
          <w:bottom w:val="single" w:sz="6" w:space="1" w:color="auto"/>
        </w:pBdr>
        <w:spacing w:after="0" w:line="240" w:lineRule="auto"/>
        <w:jc w:val="center"/>
        <w:rPr>
          <w:rFonts w:ascii="Arial" w:eastAsia="Times New Roman" w:hAnsi="Arial" w:cs="Arial"/>
          <w:vanish/>
          <w:sz w:val="16"/>
          <w:szCs w:val="16"/>
        </w:rPr>
      </w:pPr>
      <w:r w:rsidRPr="001F75CE">
        <w:rPr>
          <w:rFonts w:ascii="Arial" w:eastAsia="Times New Roman" w:hAnsi="Arial" w:cs="Arial"/>
          <w:vanish/>
          <w:sz w:val="16"/>
          <w:szCs w:val="16"/>
        </w:rPr>
        <w:t>Top of Form</w:t>
      </w:r>
    </w:p>
    <w:p w:rsidR="001F75CE" w:rsidRPr="001F75CE" w:rsidRDefault="001F75CE" w:rsidP="001F75CE">
      <w:pPr>
        <w:spacing w:before="100" w:beforeAutospacing="1" w:after="100" w:afterAutospacing="1" w:line="24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t xml:space="preserve">Discussion Forum #2: </w:t>
      </w:r>
    </w:p>
    <w:p w:rsidR="001F75CE" w:rsidRPr="001F75CE" w:rsidRDefault="001F75CE" w:rsidP="001F75CE">
      <w:pPr>
        <w:spacing w:before="100" w:beforeAutospacing="1" w:after="100" w:afterAutospacing="1" w:line="24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t>Meeting Facilitation—Engaged Team Performance and Neutral Facilitation</w:t>
      </w:r>
    </w:p>
    <w:p w:rsidR="001F75CE" w:rsidRPr="001F75CE" w:rsidRDefault="001F75CE" w:rsidP="001F75CE">
      <w:pPr>
        <w:spacing w:before="100" w:beforeAutospacing="1" w:after="100" w:afterAutospacing="1" w:line="240" w:lineRule="auto"/>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t xml:space="preserve">            </w:t>
      </w:r>
      <w:r w:rsidRPr="001F75CE">
        <w:rPr>
          <w:rFonts w:ascii="Times New Roman" w:eastAsia="Times New Roman" w:hAnsi="Times New Roman" w:cs="Times New Roman"/>
          <w:sz w:val="24"/>
          <w:szCs w:val="24"/>
        </w:rPr>
        <w:t xml:space="preserve">According to </w:t>
      </w:r>
      <w:proofErr w:type="spellStart"/>
      <w:r w:rsidRPr="001F75CE">
        <w:rPr>
          <w:rFonts w:ascii="Times New Roman" w:eastAsia="Times New Roman" w:hAnsi="Times New Roman" w:cs="Times New Roman"/>
          <w:sz w:val="24"/>
          <w:szCs w:val="24"/>
        </w:rPr>
        <w:t>Starbird</w:t>
      </w:r>
      <w:proofErr w:type="spellEnd"/>
      <w:r w:rsidRPr="001F75CE">
        <w:rPr>
          <w:rFonts w:ascii="Times New Roman" w:eastAsia="Times New Roman" w:hAnsi="Times New Roman" w:cs="Times New Roman"/>
          <w:sz w:val="24"/>
          <w:szCs w:val="24"/>
        </w:rPr>
        <w:t xml:space="preserve"> and Cavanaugh (2011), in order to avoid serious issues with team engagement and buy-in where meetings are concerned it is important to practice neutral facilitation.  This type of facilitation requires that the leader of each meeting be totally impartial to the outcomes of meeting topics—”evenhanded…of the interaction and discussion, encouraging everyone to speak, even drawing out the silent ones, and frequently shutting down the verbose” (</w:t>
      </w:r>
      <w:proofErr w:type="spellStart"/>
      <w:r w:rsidRPr="001F75CE">
        <w:rPr>
          <w:rFonts w:ascii="Times New Roman" w:eastAsia="Times New Roman" w:hAnsi="Times New Roman" w:cs="Times New Roman"/>
          <w:sz w:val="24"/>
          <w:szCs w:val="24"/>
        </w:rPr>
        <w:t>Starbird</w:t>
      </w:r>
      <w:proofErr w:type="spellEnd"/>
      <w:r w:rsidRPr="001F75CE">
        <w:rPr>
          <w:rFonts w:ascii="Times New Roman" w:eastAsia="Times New Roman" w:hAnsi="Times New Roman" w:cs="Times New Roman"/>
          <w:sz w:val="24"/>
          <w:szCs w:val="24"/>
        </w:rPr>
        <w:t xml:space="preserve"> &amp; Cavanaugh, 2011, p. 85).</w:t>
      </w:r>
    </w:p>
    <w:p w:rsidR="001F75CE" w:rsidRPr="001F75CE" w:rsidRDefault="001F75CE" w:rsidP="001F75CE">
      <w:pPr>
        <w:spacing w:before="100" w:beforeAutospacing="1" w:after="100" w:afterAutospacing="1" w:line="240" w:lineRule="auto"/>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The ultimate success of a meeting depends on the proficiency of its leadership (</w:t>
      </w:r>
      <w:proofErr w:type="spellStart"/>
      <w:r w:rsidRPr="001F75CE">
        <w:rPr>
          <w:rFonts w:ascii="Times New Roman" w:eastAsia="Times New Roman" w:hAnsi="Times New Roman" w:cs="Times New Roman"/>
          <w:sz w:val="24"/>
          <w:szCs w:val="24"/>
        </w:rPr>
        <w:t>McCardle-Keurentjes</w:t>
      </w:r>
      <w:proofErr w:type="spellEnd"/>
      <w:r w:rsidRPr="001F75CE">
        <w:rPr>
          <w:rFonts w:ascii="Times New Roman" w:eastAsia="Times New Roman" w:hAnsi="Times New Roman" w:cs="Times New Roman"/>
          <w:sz w:val="24"/>
          <w:szCs w:val="24"/>
        </w:rPr>
        <w:t xml:space="preserve">, &amp; </w:t>
      </w:r>
      <w:proofErr w:type="spellStart"/>
      <w:r w:rsidRPr="001F75CE">
        <w:rPr>
          <w:rFonts w:ascii="Times New Roman" w:eastAsia="Times New Roman" w:hAnsi="Times New Roman" w:cs="Times New Roman"/>
          <w:sz w:val="24"/>
          <w:szCs w:val="24"/>
        </w:rPr>
        <w:t>Rouwette</w:t>
      </w:r>
      <w:proofErr w:type="spellEnd"/>
      <w:r w:rsidRPr="001F75CE">
        <w:rPr>
          <w:rFonts w:ascii="Times New Roman" w:eastAsia="Times New Roman" w:hAnsi="Times New Roman" w:cs="Times New Roman"/>
          <w:sz w:val="24"/>
          <w:szCs w:val="24"/>
        </w:rPr>
        <w:t>, 2018; Stave &amp; Turner, 2019).  Essential competencies (process skills) include active listening, appropriate questioning, clear thinking, content neutrality, consensus building ability, effective presenting, and solid preparation (Franco &amp; Nielsen, 2018). In a 2020 study conducted by Zapata that compared structured and unstructured facilitation approaches, survey responses indicated that participants in the structured group weighed opportunities and obstacles more effectively, felt surer that the best solutions were arrived at, perceived that all participants had a chance to contribute, and had a more positive overall experience.</w:t>
      </w:r>
    </w:p>
    <w:p w:rsidR="001F75CE" w:rsidRPr="001F75CE" w:rsidRDefault="001F75CE" w:rsidP="001F75CE">
      <w:pPr>
        <w:spacing w:before="100" w:beforeAutospacing="1" w:after="100" w:afterAutospacing="1" w:line="240" w:lineRule="auto"/>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A neutral facilitator provides the foundation for a structured meeting (</w:t>
      </w:r>
      <w:proofErr w:type="spellStart"/>
      <w:r w:rsidRPr="001F75CE">
        <w:rPr>
          <w:rFonts w:ascii="Times New Roman" w:eastAsia="Times New Roman" w:hAnsi="Times New Roman" w:cs="Times New Roman"/>
          <w:sz w:val="24"/>
          <w:szCs w:val="24"/>
        </w:rPr>
        <w:t>Starbird</w:t>
      </w:r>
      <w:proofErr w:type="spellEnd"/>
      <w:r w:rsidRPr="001F75CE">
        <w:rPr>
          <w:rFonts w:ascii="Times New Roman" w:eastAsia="Times New Roman" w:hAnsi="Times New Roman" w:cs="Times New Roman"/>
          <w:sz w:val="24"/>
          <w:szCs w:val="24"/>
        </w:rPr>
        <w:t xml:space="preserve"> &amp; Cavanaugh, 2011). The session leader understands the preparation requirements, group dynamics and appropriate methodology, and is responsible for the managing the approach—the agenda, the ground rules, the flow of the conversation, etc. (Honey-Rosés, et al., 2020). Although the facilitator is responsible for guiding the flow of the meeting, they do not manage the content of the discussion, and in some instances, not even the project(s) being supported by the discussion and decisions (</w:t>
      </w:r>
      <w:proofErr w:type="spellStart"/>
      <w:r w:rsidRPr="001F75CE">
        <w:rPr>
          <w:rFonts w:ascii="Times New Roman" w:eastAsia="Times New Roman" w:hAnsi="Times New Roman" w:cs="Times New Roman"/>
          <w:sz w:val="24"/>
          <w:szCs w:val="24"/>
        </w:rPr>
        <w:t>McCardle-Keurentjes</w:t>
      </w:r>
      <w:proofErr w:type="spellEnd"/>
      <w:r w:rsidRPr="001F75CE">
        <w:rPr>
          <w:rFonts w:ascii="Times New Roman" w:eastAsia="Times New Roman" w:hAnsi="Times New Roman" w:cs="Times New Roman"/>
          <w:sz w:val="24"/>
          <w:szCs w:val="24"/>
        </w:rPr>
        <w:t xml:space="preserve">, &amp; </w:t>
      </w:r>
      <w:proofErr w:type="spellStart"/>
      <w:r w:rsidRPr="001F75CE">
        <w:rPr>
          <w:rFonts w:ascii="Times New Roman" w:eastAsia="Times New Roman" w:hAnsi="Times New Roman" w:cs="Times New Roman"/>
          <w:sz w:val="24"/>
          <w:szCs w:val="24"/>
        </w:rPr>
        <w:t>Rouwette</w:t>
      </w:r>
      <w:proofErr w:type="spellEnd"/>
      <w:r w:rsidRPr="001F75CE">
        <w:rPr>
          <w:rFonts w:ascii="Times New Roman" w:eastAsia="Times New Roman" w:hAnsi="Times New Roman" w:cs="Times New Roman"/>
          <w:sz w:val="24"/>
          <w:szCs w:val="24"/>
        </w:rPr>
        <w:t>, 2018).</w:t>
      </w:r>
    </w:p>
    <w:p w:rsidR="001F75CE" w:rsidRPr="001F75CE" w:rsidRDefault="001F75CE" w:rsidP="001F75CE">
      <w:pPr>
        <w:spacing w:before="100" w:beforeAutospacing="1" w:after="100" w:afterAutospacing="1" w:line="240" w:lineRule="auto"/>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t>Chambers of Commerce and Meeting Facilitation</w:t>
      </w:r>
    </w:p>
    <w:p w:rsidR="001F75CE" w:rsidRPr="001F75CE" w:rsidRDefault="001F75CE" w:rsidP="001F75CE">
      <w:pPr>
        <w:spacing w:before="100" w:beforeAutospacing="1" w:after="100" w:afterAutospacing="1" w:line="240" w:lineRule="auto"/>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t xml:space="preserve">            </w:t>
      </w:r>
      <w:r w:rsidRPr="001F75CE">
        <w:rPr>
          <w:rFonts w:ascii="Times New Roman" w:eastAsia="Times New Roman" w:hAnsi="Times New Roman" w:cs="Times New Roman"/>
          <w:sz w:val="24"/>
          <w:szCs w:val="24"/>
        </w:rPr>
        <w:t xml:space="preserve">Chambers of commerce, like the one I work for, are business membership organizations that are governed by a board of directors that endeavors to complete a program of work through the efforts of designated committees (i.e., Governmental Affairs, Community Development, Agribusiness/Tourism, Existing Industries, Workforce Development, Finance, etc.) lea by elected board members and consisting of interested, qualified chamber members ("Chamber info | Habersham chamber | Cornelia GA," </w:t>
      </w:r>
      <w:proofErr w:type="spellStart"/>
      <w:r w:rsidRPr="001F75CE">
        <w:rPr>
          <w:rFonts w:ascii="Times New Roman" w:eastAsia="Times New Roman" w:hAnsi="Times New Roman" w:cs="Times New Roman"/>
          <w:sz w:val="24"/>
          <w:szCs w:val="24"/>
        </w:rPr>
        <w:t>n.d.</w:t>
      </w:r>
      <w:proofErr w:type="spellEnd"/>
      <w:r w:rsidRPr="001F75CE">
        <w:rPr>
          <w:rFonts w:ascii="Times New Roman" w:eastAsia="Times New Roman" w:hAnsi="Times New Roman" w:cs="Times New Roman"/>
          <w:sz w:val="24"/>
          <w:szCs w:val="24"/>
        </w:rPr>
        <w:t xml:space="preserve">). All fundraising, community programs, educational initiatives and programs, advocacy campaigns and programs, etc. are overseen by a designated committee.  As </w:t>
      </w:r>
      <w:proofErr w:type="spellStart"/>
      <w:r w:rsidRPr="001F75CE">
        <w:rPr>
          <w:rFonts w:ascii="Times New Roman" w:eastAsia="Times New Roman" w:hAnsi="Times New Roman" w:cs="Times New Roman"/>
          <w:sz w:val="24"/>
          <w:szCs w:val="24"/>
        </w:rPr>
        <w:t>Starbird</w:t>
      </w:r>
      <w:proofErr w:type="spellEnd"/>
      <w:r w:rsidRPr="001F75CE">
        <w:rPr>
          <w:rFonts w:ascii="Times New Roman" w:eastAsia="Times New Roman" w:hAnsi="Times New Roman" w:cs="Times New Roman"/>
          <w:sz w:val="24"/>
          <w:szCs w:val="24"/>
        </w:rPr>
        <w:t xml:space="preserve"> and Cavanaugh (2012) point out, although having a neutral facilitator is preferred, it is very difficult for committee chairs to actually be unbiased or impartial when it </w:t>
      </w:r>
      <w:r w:rsidRPr="001F75CE">
        <w:rPr>
          <w:rFonts w:ascii="Times New Roman" w:eastAsia="Times New Roman" w:hAnsi="Times New Roman" w:cs="Times New Roman"/>
          <w:sz w:val="24"/>
          <w:szCs w:val="24"/>
        </w:rPr>
        <w:lastRenderedPageBreak/>
        <w:t>comes to issues and programs that are addressed.  Oftentimes, I, as a committee meeting recorder in some instances, have witnessed a leaders unintentional biases in regard to a particular issue lead to committee members feeling “manipulated…[and] defensive” (</w:t>
      </w:r>
      <w:proofErr w:type="spellStart"/>
      <w:r w:rsidRPr="001F75CE">
        <w:rPr>
          <w:rFonts w:ascii="Times New Roman" w:eastAsia="Times New Roman" w:hAnsi="Times New Roman" w:cs="Times New Roman"/>
          <w:sz w:val="24"/>
          <w:szCs w:val="24"/>
        </w:rPr>
        <w:t>Starbird</w:t>
      </w:r>
      <w:proofErr w:type="spellEnd"/>
      <w:r w:rsidRPr="001F75CE">
        <w:rPr>
          <w:rFonts w:ascii="Times New Roman" w:eastAsia="Times New Roman" w:hAnsi="Times New Roman" w:cs="Times New Roman"/>
          <w:sz w:val="24"/>
          <w:szCs w:val="24"/>
        </w:rPr>
        <w:t xml:space="preserve"> &amp; Cavanaugh, 2012, p. 85). Many times, in my experience, this is due to either a lack of structure for the meeting in general, or a failure of the facilitator to follow the agenda and/or manage time effectively.</w:t>
      </w:r>
    </w:p>
    <w:p w:rsidR="001F75CE" w:rsidRPr="001F75CE" w:rsidRDefault="001F75CE" w:rsidP="001F75CE">
      <w:pPr>
        <w:spacing w:before="100" w:beforeAutospacing="1" w:after="100" w:afterAutospacing="1" w:line="24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t>Conclusion</w:t>
      </w:r>
    </w:p>
    <w:p w:rsidR="001F75CE" w:rsidRPr="001F75CE" w:rsidRDefault="001F75CE" w:rsidP="001F75CE">
      <w:pPr>
        <w:spacing w:before="100" w:beforeAutospacing="1" w:after="100" w:afterAutospacing="1" w:line="240" w:lineRule="auto"/>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Meeting facilitation combines a series of roles and tasks—keeping people on topic; listening carefully to what everyone is saying so no one's points get lost; suggesting techniques for creative problem-solving; summarizing points so that everyone is on the same page; and supporting the group to address a conflict if it arises (Stave &amp; Turner, 2019). The facilitator needs to be aware of both the content of the meeting (what people are talking about) and the process (how the conversations are happening) in order to come up with effective ideas for how to help the discussion move forward (Franco &amp; Nielsen, 2018).The need for good process skills is the core of effective structured meeting facilitation (</w:t>
      </w:r>
      <w:proofErr w:type="spellStart"/>
      <w:r w:rsidRPr="001F75CE">
        <w:rPr>
          <w:rFonts w:ascii="Times New Roman" w:eastAsia="Times New Roman" w:hAnsi="Times New Roman" w:cs="Times New Roman"/>
          <w:sz w:val="24"/>
          <w:szCs w:val="24"/>
        </w:rPr>
        <w:t>McCardle-Keurentjes</w:t>
      </w:r>
      <w:proofErr w:type="spellEnd"/>
      <w:r w:rsidRPr="001F75CE">
        <w:rPr>
          <w:rFonts w:ascii="Times New Roman" w:eastAsia="Times New Roman" w:hAnsi="Times New Roman" w:cs="Times New Roman"/>
          <w:sz w:val="24"/>
          <w:szCs w:val="24"/>
        </w:rPr>
        <w:t xml:space="preserve">, &amp; </w:t>
      </w:r>
      <w:proofErr w:type="spellStart"/>
      <w:r w:rsidRPr="001F75CE">
        <w:rPr>
          <w:rFonts w:ascii="Times New Roman" w:eastAsia="Times New Roman" w:hAnsi="Times New Roman" w:cs="Times New Roman"/>
          <w:sz w:val="24"/>
          <w:szCs w:val="24"/>
        </w:rPr>
        <w:t>Rouwette</w:t>
      </w:r>
      <w:proofErr w:type="spellEnd"/>
      <w:r w:rsidRPr="001F75CE">
        <w:rPr>
          <w:rFonts w:ascii="Times New Roman" w:eastAsia="Times New Roman" w:hAnsi="Times New Roman" w:cs="Times New Roman"/>
          <w:sz w:val="24"/>
          <w:szCs w:val="24"/>
        </w:rPr>
        <w:t>, 2018). Without them the full potential of the team’s contributions cannot be achieved. Process skills are those skills needed to ensure that both content and process are combined to achieve the best outcome from any meeting (</w:t>
      </w:r>
      <w:proofErr w:type="spellStart"/>
      <w:r w:rsidRPr="001F75CE">
        <w:rPr>
          <w:rFonts w:ascii="Times New Roman" w:eastAsia="Times New Roman" w:hAnsi="Times New Roman" w:cs="Times New Roman"/>
          <w:sz w:val="24"/>
          <w:szCs w:val="24"/>
        </w:rPr>
        <w:t>McCardle-Keurentjes</w:t>
      </w:r>
      <w:proofErr w:type="spellEnd"/>
      <w:r w:rsidRPr="001F75CE">
        <w:rPr>
          <w:rFonts w:ascii="Times New Roman" w:eastAsia="Times New Roman" w:hAnsi="Times New Roman" w:cs="Times New Roman"/>
          <w:sz w:val="24"/>
          <w:szCs w:val="24"/>
        </w:rPr>
        <w:t xml:space="preserve">, &amp; </w:t>
      </w:r>
      <w:proofErr w:type="spellStart"/>
      <w:r w:rsidRPr="001F75CE">
        <w:rPr>
          <w:rFonts w:ascii="Times New Roman" w:eastAsia="Times New Roman" w:hAnsi="Times New Roman" w:cs="Times New Roman"/>
          <w:sz w:val="24"/>
          <w:szCs w:val="24"/>
        </w:rPr>
        <w:t>Rouwette</w:t>
      </w:r>
      <w:proofErr w:type="spellEnd"/>
      <w:r w:rsidRPr="001F75CE">
        <w:rPr>
          <w:rFonts w:ascii="Times New Roman" w:eastAsia="Times New Roman" w:hAnsi="Times New Roman" w:cs="Times New Roman"/>
          <w:sz w:val="24"/>
          <w:szCs w:val="24"/>
        </w:rPr>
        <w:t>, 2018; Stave &amp; Turner, 2019; Franco &amp; Nielsen, 2018).</w:t>
      </w:r>
    </w:p>
    <w:p w:rsidR="001F75CE" w:rsidRPr="001F75CE" w:rsidRDefault="001F75CE" w:rsidP="001F75CE">
      <w:pPr>
        <w:spacing w:before="100" w:beforeAutospacing="1" w:after="100" w:afterAutospacing="1" w:line="240" w:lineRule="auto"/>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t xml:space="preserve">            </w:t>
      </w:r>
    </w:p>
    <w:p w:rsidR="001F75CE" w:rsidRPr="001F75CE" w:rsidRDefault="001F75CE" w:rsidP="001F75CE">
      <w:pPr>
        <w:spacing w:before="100" w:beforeAutospacing="1" w:after="100" w:afterAutospacing="1" w:line="240" w:lineRule="auto"/>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br w:type="page"/>
      </w:r>
    </w:p>
    <w:p w:rsidR="001F75CE" w:rsidRPr="001F75CE" w:rsidRDefault="001F75CE" w:rsidP="001F75CE">
      <w:pPr>
        <w:spacing w:before="100" w:beforeAutospacing="1" w:after="100" w:afterAutospacing="1" w:line="24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lastRenderedPageBreak/>
        <w:t> </w:t>
      </w:r>
    </w:p>
    <w:p w:rsidR="001F75CE" w:rsidRPr="001F75CE" w:rsidRDefault="001F75CE" w:rsidP="001F75CE">
      <w:pPr>
        <w:spacing w:before="100" w:beforeAutospacing="1" w:after="100" w:afterAutospacing="1" w:line="240" w:lineRule="auto"/>
        <w:ind w:left="720" w:hanging="720"/>
        <w:jc w:val="center"/>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t>References</w:t>
      </w:r>
    </w:p>
    <w:p w:rsidR="001F75CE" w:rsidRPr="001F75CE" w:rsidRDefault="001F75CE" w:rsidP="001F75CE">
      <w:pPr>
        <w:spacing w:before="100" w:beforeAutospacing="1" w:after="100" w:afterAutospacing="1" w:line="240" w:lineRule="auto"/>
        <w:ind w:left="720" w:hanging="720"/>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w:t>
      </w:r>
    </w:p>
    <w:p w:rsidR="001F75CE" w:rsidRPr="001F75CE" w:rsidRDefault="001F75CE" w:rsidP="001F75CE">
      <w:pPr>
        <w:spacing w:before="100" w:beforeAutospacing="1" w:after="100" w:afterAutospacing="1" w:line="240" w:lineRule="auto"/>
        <w:ind w:left="720" w:hanging="720"/>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Chamber info | Habersham chamber | Cornelia GA. (</w:t>
      </w:r>
      <w:proofErr w:type="spellStart"/>
      <w:r w:rsidRPr="001F75CE">
        <w:rPr>
          <w:rFonts w:ascii="Times New Roman" w:eastAsia="Times New Roman" w:hAnsi="Times New Roman" w:cs="Times New Roman"/>
          <w:sz w:val="24"/>
          <w:szCs w:val="24"/>
        </w:rPr>
        <w:t>n.d.</w:t>
      </w:r>
      <w:proofErr w:type="spellEnd"/>
      <w:r w:rsidRPr="001F75CE">
        <w:rPr>
          <w:rFonts w:ascii="Times New Roman" w:eastAsia="Times New Roman" w:hAnsi="Times New Roman" w:cs="Times New Roman"/>
          <w:sz w:val="24"/>
          <w:szCs w:val="24"/>
        </w:rPr>
        <w:t>). Habersham Chamber of Commerce. https://www.habershamchamber.com/chamber-information.html</w:t>
      </w:r>
    </w:p>
    <w:p w:rsidR="001F75CE" w:rsidRPr="001F75CE" w:rsidRDefault="001F75CE" w:rsidP="001F75CE">
      <w:pPr>
        <w:spacing w:before="100" w:beforeAutospacing="1" w:after="100" w:afterAutospacing="1" w:line="240" w:lineRule="auto"/>
        <w:ind w:left="720" w:hanging="720"/>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xml:space="preserve"> Franco, L. A., &amp; Nielsen, M. F. (2018). Examining group facilitation in situ: The use of formulations in facilitation practice. </w:t>
      </w:r>
      <w:r w:rsidRPr="001F75CE">
        <w:rPr>
          <w:rFonts w:ascii="Times New Roman" w:eastAsia="Times New Roman" w:hAnsi="Times New Roman" w:cs="Times New Roman"/>
          <w:i/>
          <w:iCs/>
          <w:sz w:val="24"/>
          <w:szCs w:val="24"/>
        </w:rPr>
        <w:t>Group Decision and Negotiation</w:t>
      </w:r>
      <w:r w:rsidRPr="001F75CE">
        <w:rPr>
          <w:rFonts w:ascii="Times New Roman" w:eastAsia="Times New Roman" w:hAnsi="Times New Roman" w:cs="Times New Roman"/>
          <w:sz w:val="24"/>
          <w:szCs w:val="24"/>
        </w:rPr>
        <w:t xml:space="preserve">, 27(5), 735-756. </w:t>
      </w:r>
      <w:proofErr w:type="gramStart"/>
      <w:r w:rsidRPr="001F75CE">
        <w:rPr>
          <w:rFonts w:ascii="Times New Roman" w:eastAsia="Times New Roman" w:hAnsi="Times New Roman" w:cs="Times New Roman"/>
          <w:sz w:val="24"/>
          <w:szCs w:val="24"/>
        </w:rPr>
        <w:t>doi:</w:t>
      </w:r>
      <w:proofErr w:type="gramEnd"/>
      <w:r w:rsidRPr="001F75CE">
        <w:rPr>
          <w:rFonts w:ascii="Times New Roman" w:eastAsia="Times New Roman" w:hAnsi="Times New Roman" w:cs="Times New Roman"/>
          <w:sz w:val="24"/>
          <w:szCs w:val="24"/>
        </w:rPr>
        <w:t>10.1007/s10726-018-9577-7</w:t>
      </w:r>
    </w:p>
    <w:p w:rsidR="001F75CE" w:rsidRPr="001F75CE" w:rsidRDefault="001F75CE" w:rsidP="001F75CE">
      <w:pPr>
        <w:spacing w:before="100" w:beforeAutospacing="1" w:after="100" w:afterAutospacing="1" w:line="240" w:lineRule="auto"/>
        <w:ind w:left="720" w:hanging="720"/>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xml:space="preserve"> Honey-Rosés, J., </w:t>
      </w:r>
      <w:proofErr w:type="spellStart"/>
      <w:r w:rsidRPr="001F75CE">
        <w:rPr>
          <w:rFonts w:ascii="Times New Roman" w:eastAsia="Times New Roman" w:hAnsi="Times New Roman" w:cs="Times New Roman"/>
          <w:sz w:val="24"/>
          <w:szCs w:val="24"/>
        </w:rPr>
        <w:t>Canessa</w:t>
      </w:r>
      <w:proofErr w:type="spellEnd"/>
      <w:r w:rsidRPr="001F75CE">
        <w:rPr>
          <w:rFonts w:ascii="Times New Roman" w:eastAsia="Times New Roman" w:hAnsi="Times New Roman" w:cs="Times New Roman"/>
          <w:sz w:val="24"/>
          <w:szCs w:val="24"/>
        </w:rPr>
        <w:t xml:space="preserve">, M., </w:t>
      </w:r>
      <w:proofErr w:type="spellStart"/>
      <w:r w:rsidRPr="001F75CE">
        <w:rPr>
          <w:rFonts w:ascii="Times New Roman" w:eastAsia="Times New Roman" w:hAnsi="Times New Roman" w:cs="Times New Roman"/>
          <w:sz w:val="24"/>
          <w:szCs w:val="24"/>
        </w:rPr>
        <w:t>Daitch</w:t>
      </w:r>
      <w:proofErr w:type="spellEnd"/>
      <w:r w:rsidRPr="001F75CE">
        <w:rPr>
          <w:rFonts w:ascii="Times New Roman" w:eastAsia="Times New Roman" w:hAnsi="Times New Roman" w:cs="Times New Roman"/>
          <w:sz w:val="24"/>
          <w:szCs w:val="24"/>
        </w:rPr>
        <w:t xml:space="preserve">, S., Gomes, B., Muñoz-Blanco </w:t>
      </w:r>
      <w:proofErr w:type="spellStart"/>
      <w:r w:rsidRPr="001F75CE">
        <w:rPr>
          <w:rFonts w:ascii="Times New Roman" w:eastAsia="Times New Roman" w:hAnsi="Times New Roman" w:cs="Times New Roman"/>
          <w:sz w:val="24"/>
          <w:szCs w:val="24"/>
        </w:rPr>
        <w:t>García</w:t>
      </w:r>
      <w:proofErr w:type="spellEnd"/>
      <w:r w:rsidRPr="001F75CE">
        <w:rPr>
          <w:rFonts w:ascii="Times New Roman" w:eastAsia="Times New Roman" w:hAnsi="Times New Roman" w:cs="Times New Roman"/>
          <w:sz w:val="24"/>
          <w:szCs w:val="24"/>
        </w:rPr>
        <w:t xml:space="preserve">, J., Xavier, A., &amp; Zapata, O. (2020). Comparing structured and unstructured facilitation approaches in consultation workshops: A field experiment. </w:t>
      </w:r>
      <w:r w:rsidRPr="001F75CE">
        <w:rPr>
          <w:rFonts w:ascii="Times New Roman" w:eastAsia="Times New Roman" w:hAnsi="Times New Roman" w:cs="Times New Roman"/>
          <w:i/>
          <w:iCs/>
          <w:sz w:val="24"/>
          <w:szCs w:val="24"/>
        </w:rPr>
        <w:t>Group Decision and Negotiation</w:t>
      </w:r>
      <w:r w:rsidRPr="001F75CE">
        <w:rPr>
          <w:rFonts w:ascii="Times New Roman" w:eastAsia="Times New Roman" w:hAnsi="Times New Roman" w:cs="Times New Roman"/>
          <w:sz w:val="24"/>
          <w:szCs w:val="24"/>
        </w:rPr>
        <w:t xml:space="preserve">, 29(5), 949-967. </w:t>
      </w:r>
      <w:proofErr w:type="gramStart"/>
      <w:r w:rsidRPr="001F75CE">
        <w:rPr>
          <w:rFonts w:ascii="Times New Roman" w:eastAsia="Times New Roman" w:hAnsi="Times New Roman" w:cs="Times New Roman"/>
          <w:sz w:val="24"/>
          <w:szCs w:val="24"/>
        </w:rPr>
        <w:t>doi:</w:t>
      </w:r>
      <w:proofErr w:type="gramEnd"/>
      <w:r w:rsidRPr="001F75CE">
        <w:rPr>
          <w:rFonts w:ascii="Times New Roman" w:eastAsia="Times New Roman" w:hAnsi="Times New Roman" w:cs="Times New Roman"/>
          <w:sz w:val="24"/>
          <w:szCs w:val="24"/>
        </w:rPr>
        <w:t>10.1007/s10726-020-09688-w</w:t>
      </w:r>
    </w:p>
    <w:p w:rsidR="001F75CE" w:rsidRPr="001F75CE" w:rsidRDefault="001F75CE" w:rsidP="001F75CE">
      <w:pPr>
        <w:spacing w:before="100" w:beforeAutospacing="1" w:after="100" w:afterAutospacing="1" w:line="240" w:lineRule="auto"/>
        <w:ind w:left="720" w:hanging="720"/>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w:t>
      </w:r>
      <w:proofErr w:type="spellStart"/>
      <w:r w:rsidRPr="001F75CE">
        <w:rPr>
          <w:rFonts w:ascii="Times New Roman" w:eastAsia="Times New Roman" w:hAnsi="Times New Roman" w:cs="Times New Roman"/>
          <w:sz w:val="24"/>
          <w:szCs w:val="24"/>
        </w:rPr>
        <w:t>McCardle-Keurentjes</w:t>
      </w:r>
      <w:proofErr w:type="spellEnd"/>
      <w:r w:rsidRPr="001F75CE">
        <w:rPr>
          <w:rFonts w:ascii="Times New Roman" w:eastAsia="Times New Roman" w:hAnsi="Times New Roman" w:cs="Times New Roman"/>
          <w:sz w:val="24"/>
          <w:szCs w:val="24"/>
        </w:rPr>
        <w:t xml:space="preserve">, M., &amp; </w:t>
      </w:r>
      <w:proofErr w:type="spellStart"/>
      <w:r w:rsidRPr="001F75CE">
        <w:rPr>
          <w:rFonts w:ascii="Times New Roman" w:eastAsia="Times New Roman" w:hAnsi="Times New Roman" w:cs="Times New Roman"/>
          <w:sz w:val="24"/>
          <w:szCs w:val="24"/>
        </w:rPr>
        <w:t>Rouwette</w:t>
      </w:r>
      <w:proofErr w:type="spellEnd"/>
      <w:r w:rsidRPr="001F75CE">
        <w:rPr>
          <w:rFonts w:ascii="Times New Roman" w:eastAsia="Times New Roman" w:hAnsi="Times New Roman" w:cs="Times New Roman"/>
          <w:sz w:val="24"/>
          <w:szCs w:val="24"/>
        </w:rPr>
        <w:t xml:space="preserve">, </w:t>
      </w:r>
      <w:proofErr w:type="spellStart"/>
      <w:r w:rsidRPr="001F75CE">
        <w:rPr>
          <w:rFonts w:ascii="Times New Roman" w:eastAsia="Times New Roman" w:hAnsi="Times New Roman" w:cs="Times New Roman"/>
          <w:sz w:val="24"/>
          <w:szCs w:val="24"/>
        </w:rPr>
        <w:t>Etiënne</w:t>
      </w:r>
      <w:proofErr w:type="spellEnd"/>
      <w:r w:rsidRPr="001F75CE">
        <w:rPr>
          <w:rFonts w:ascii="Times New Roman" w:eastAsia="Times New Roman" w:hAnsi="Times New Roman" w:cs="Times New Roman"/>
          <w:sz w:val="24"/>
          <w:szCs w:val="24"/>
        </w:rPr>
        <w:t xml:space="preserve"> A. J. A. (2018). Asking questions: A sine qua non of facilitation in decision support? </w:t>
      </w:r>
      <w:r w:rsidRPr="001F75CE">
        <w:rPr>
          <w:rFonts w:ascii="Times New Roman" w:eastAsia="Times New Roman" w:hAnsi="Times New Roman" w:cs="Times New Roman"/>
          <w:i/>
          <w:iCs/>
          <w:sz w:val="24"/>
          <w:szCs w:val="24"/>
        </w:rPr>
        <w:t>Group Decision and Negotiation</w:t>
      </w:r>
      <w:r w:rsidRPr="001F75CE">
        <w:rPr>
          <w:rFonts w:ascii="Times New Roman" w:eastAsia="Times New Roman" w:hAnsi="Times New Roman" w:cs="Times New Roman"/>
          <w:sz w:val="24"/>
          <w:szCs w:val="24"/>
        </w:rPr>
        <w:t xml:space="preserve">, 27(5), 757-788. </w:t>
      </w:r>
      <w:proofErr w:type="gramStart"/>
      <w:r w:rsidRPr="001F75CE">
        <w:rPr>
          <w:rFonts w:ascii="Times New Roman" w:eastAsia="Times New Roman" w:hAnsi="Times New Roman" w:cs="Times New Roman"/>
          <w:sz w:val="24"/>
          <w:szCs w:val="24"/>
        </w:rPr>
        <w:t>doi:</w:t>
      </w:r>
      <w:proofErr w:type="gramEnd"/>
      <w:r w:rsidRPr="001F75CE">
        <w:rPr>
          <w:rFonts w:ascii="Times New Roman" w:eastAsia="Times New Roman" w:hAnsi="Times New Roman" w:cs="Times New Roman"/>
          <w:sz w:val="24"/>
          <w:szCs w:val="24"/>
        </w:rPr>
        <w:t>10.1007/s10726-018-9573-y</w:t>
      </w:r>
    </w:p>
    <w:p w:rsidR="001F75CE" w:rsidRPr="001F75CE" w:rsidRDefault="001F75CE" w:rsidP="001F75CE">
      <w:pPr>
        <w:spacing w:before="100" w:beforeAutospacing="1" w:after="100" w:afterAutospacing="1" w:line="240" w:lineRule="auto"/>
        <w:ind w:left="567" w:hanging="567"/>
        <w:rPr>
          <w:rFonts w:ascii="Times New Roman" w:eastAsia="Times New Roman" w:hAnsi="Times New Roman" w:cs="Times New Roman"/>
          <w:sz w:val="24"/>
          <w:szCs w:val="24"/>
        </w:rPr>
      </w:pPr>
      <w:proofErr w:type="spellStart"/>
      <w:r w:rsidRPr="001F75CE">
        <w:rPr>
          <w:rFonts w:ascii="Times New Roman" w:eastAsia="Times New Roman" w:hAnsi="Times New Roman" w:cs="Times New Roman"/>
          <w:sz w:val="24"/>
          <w:szCs w:val="24"/>
        </w:rPr>
        <w:t>Starbird</w:t>
      </w:r>
      <w:proofErr w:type="spellEnd"/>
      <w:r w:rsidRPr="001F75CE">
        <w:rPr>
          <w:rFonts w:ascii="Times New Roman" w:eastAsia="Times New Roman" w:hAnsi="Times New Roman" w:cs="Times New Roman"/>
          <w:sz w:val="24"/>
          <w:szCs w:val="24"/>
        </w:rPr>
        <w:t xml:space="preserve">, D., &amp; Cavanagh, R. R. (2011). </w:t>
      </w:r>
      <w:r w:rsidRPr="001F75CE">
        <w:rPr>
          <w:rFonts w:ascii="Times New Roman" w:eastAsia="Times New Roman" w:hAnsi="Times New Roman" w:cs="Times New Roman"/>
          <w:i/>
          <w:iCs/>
          <w:sz w:val="24"/>
          <w:szCs w:val="24"/>
        </w:rPr>
        <w:t>Building engaged team performance: align your processes and people to achieve game-changing business results</w:t>
      </w:r>
      <w:r w:rsidRPr="001F75CE">
        <w:rPr>
          <w:rFonts w:ascii="Times New Roman" w:eastAsia="Times New Roman" w:hAnsi="Times New Roman" w:cs="Times New Roman"/>
          <w:sz w:val="24"/>
          <w:szCs w:val="24"/>
        </w:rPr>
        <w:t>. McGraw-Hill.</w:t>
      </w:r>
    </w:p>
    <w:p w:rsidR="001F75CE" w:rsidRPr="001F75CE" w:rsidRDefault="001F75CE" w:rsidP="001F75CE">
      <w:pPr>
        <w:spacing w:after="0" w:line="240" w:lineRule="auto"/>
        <w:rPr>
          <w:rFonts w:ascii="Times New Roman" w:eastAsia="Times New Roman" w:hAnsi="Times New Roman" w:cs="Times New Roman"/>
          <w:sz w:val="24"/>
          <w:szCs w:val="24"/>
        </w:rPr>
      </w:pPr>
    </w:p>
    <w:p w:rsidR="001F75CE" w:rsidRPr="001F75CE" w:rsidRDefault="001F75CE" w:rsidP="001F75CE">
      <w:pPr>
        <w:spacing w:before="100" w:beforeAutospacing="1" w:after="100" w:afterAutospacing="1" w:line="240" w:lineRule="auto"/>
        <w:ind w:left="720" w:hanging="720"/>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xml:space="preserve">Stave, K., Dwyer, M., &amp; Turner, M. (2019). Exploring the value of participatory system dynamics in two paired field studies of stakeholder engagement in sustainability discussions. </w:t>
      </w:r>
      <w:r w:rsidRPr="001F75CE">
        <w:rPr>
          <w:rFonts w:ascii="Times New Roman" w:eastAsia="Times New Roman" w:hAnsi="Times New Roman" w:cs="Times New Roman"/>
          <w:i/>
          <w:iCs/>
          <w:sz w:val="24"/>
          <w:szCs w:val="24"/>
        </w:rPr>
        <w:t>Systems Research and Behavioral Science</w:t>
      </w:r>
      <w:r w:rsidRPr="001F75CE">
        <w:rPr>
          <w:rFonts w:ascii="Times New Roman" w:eastAsia="Times New Roman" w:hAnsi="Times New Roman" w:cs="Times New Roman"/>
          <w:sz w:val="24"/>
          <w:szCs w:val="24"/>
        </w:rPr>
        <w:t>, 36(2), 156-179. doi:10.1002/sres.2576</w:t>
      </w:r>
    </w:p>
    <w:p w:rsidR="001F75CE" w:rsidRPr="001F75CE" w:rsidRDefault="001F75CE" w:rsidP="001F75CE">
      <w:pPr>
        <w:spacing w:before="100" w:beforeAutospacing="1" w:after="100" w:afterAutospacing="1" w:line="240" w:lineRule="auto"/>
        <w:ind w:left="720" w:hanging="720"/>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Zapata, Oscar. “Comparing Structured and Unstructured Facilitation Approaches in Consultation Workshops: A Field Experiment.” Group decision and negotiation. 29.5 (2020): 949–967. Web.</w:t>
      </w:r>
    </w:p>
    <w:p w:rsidR="001F75CE" w:rsidRPr="001F75CE" w:rsidRDefault="001F75CE" w:rsidP="001F75CE">
      <w:pPr>
        <w:pBdr>
          <w:top w:val="single" w:sz="6" w:space="1" w:color="auto"/>
        </w:pBdr>
        <w:spacing w:after="0" w:line="240" w:lineRule="auto"/>
        <w:jc w:val="center"/>
        <w:rPr>
          <w:rFonts w:ascii="Arial" w:eastAsia="Times New Roman" w:hAnsi="Arial" w:cs="Arial"/>
          <w:vanish/>
          <w:sz w:val="16"/>
          <w:szCs w:val="16"/>
        </w:rPr>
      </w:pPr>
      <w:r w:rsidRPr="001F75CE">
        <w:rPr>
          <w:rFonts w:ascii="Arial" w:eastAsia="Times New Roman" w:hAnsi="Arial" w:cs="Arial"/>
          <w:vanish/>
          <w:sz w:val="16"/>
          <w:szCs w:val="16"/>
        </w:rPr>
        <w:t>Bottom of Form</w:t>
      </w:r>
    </w:p>
    <w:p w:rsidR="001F75CE" w:rsidRPr="001F75CE" w:rsidRDefault="001F75CE">
      <w:pPr>
        <w:rPr>
          <w:sz w:val="24"/>
          <w:szCs w:val="24"/>
        </w:rPr>
      </w:pPr>
    </w:p>
    <w:p w:rsidR="001F75CE" w:rsidRDefault="001F75CE" w:rsidP="001F75CE">
      <w:pPr>
        <w:rPr>
          <w:sz w:val="40"/>
          <w:szCs w:val="40"/>
          <w:highlight w:val="yellow"/>
        </w:rPr>
      </w:pPr>
      <w:r>
        <w:rPr>
          <w:sz w:val="40"/>
          <w:szCs w:val="40"/>
          <w:highlight w:val="yellow"/>
        </w:rPr>
        <w:t>DB #2</w:t>
      </w:r>
    </w:p>
    <w:p w:rsidR="001F75CE" w:rsidRDefault="001F75CE" w:rsidP="001F75CE">
      <w:pPr>
        <w:rPr>
          <w:sz w:val="24"/>
          <w:szCs w:val="24"/>
        </w:rPr>
      </w:pPr>
    </w:p>
    <w:p w:rsidR="001F75CE" w:rsidRPr="001F75CE" w:rsidRDefault="001F75CE" w:rsidP="001F75CE">
      <w:pPr>
        <w:spacing w:after="0" w:line="240" w:lineRule="auto"/>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xml:space="preserve">Discussion Board 2 - Lafon </w:t>
      </w:r>
      <w:r w:rsidRPr="001F75CE">
        <w:rPr>
          <w:rFonts w:ascii="Times New Roman" w:eastAsia="Times New Roman" w:hAnsi="Times New Roman" w:cs="Times New Roman"/>
          <w:noProof/>
          <w:sz w:val="24"/>
          <w:szCs w:val="24"/>
        </w:rPr>
        <w:drawing>
          <wp:inline distT="0" distB="0" distL="0" distR="0">
            <wp:extent cx="152400" cy="152400"/>
            <wp:effectExtent l="0" t="0" r="0" b="0"/>
            <wp:docPr id="1" name="Picture 1" descr="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tachme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1F75CE" w:rsidRPr="001F75CE" w:rsidRDefault="001F75CE" w:rsidP="001F75CE">
      <w:pPr>
        <w:spacing w:after="0" w:line="240" w:lineRule="auto"/>
        <w:rPr>
          <w:rFonts w:ascii="Times New Roman" w:eastAsia="Times New Roman" w:hAnsi="Times New Roman" w:cs="Times New Roman"/>
          <w:sz w:val="24"/>
          <w:szCs w:val="24"/>
        </w:rPr>
      </w:pPr>
      <w:hyperlink r:id="rId6" w:history="1">
        <w:r w:rsidRPr="001F75CE">
          <w:rPr>
            <w:rFonts w:ascii="Times New Roman" w:eastAsia="Times New Roman" w:hAnsi="Times New Roman" w:cs="Times New Roman"/>
            <w:color w:val="0000FF"/>
            <w:sz w:val="24"/>
            <w:szCs w:val="24"/>
            <w:u w:val="single"/>
          </w:rPr>
          <w:t>Collapse</w:t>
        </w:r>
      </w:hyperlink>
    </w:p>
    <w:p w:rsidR="001F75CE" w:rsidRPr="001F75CE" w:rsidRDefault="001F75CE" w:rsidP="001F75CE">
      <w:pPr>
        <w:pBdr>
          <w:bottom w:val="single" w:sz="6" w:space="1" w:color="auto"/>
        </w:pBdr>
        <w:spacing w:after="0" w:line="240" w:lineRule="auto"/>
        <w:jc w:val="center"/>
        <w:rPr>
          <w:rFonts w:ascii="Arial" w:eastAsia="Times New Roman" w:hAnsi="Arial" w:cs="Arial"/>
          <w:vanish/>
          <w:sz w:val="16"/>
          <w:szCs w:val="16"/>
        </w:rPr>
      </w:pPr>
      <w:r w:rsidRPr="001F75CE">
        <w:rPr>
          <w:rFonts w:ascii="Arial" w:eastAsia="Times New Roman" w:hAnsi="Arial" w:cs="Arial"/>
          <w:vanish/>
          <w:sz w:val="16"/>
          <w:szCs w:val="16"/>
        </w:rPr>
        <w:t>Top of Form</w:t>
      </w:r>
    </w:p>
    <w:p w:rsidR="001F75CE" w:rsidRPr="001F75CE" w:rsidRDefault="001F75CE" w:rsidP="001F75CE">
      <w:pPr>
        <w:spacing w:before="100" w:beforeAutospacing="1" w:after="100" w:afterAutospacing="1" w:line="48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t xml:space="preserve">Discussion Board 2 – Team Principles in Quality and Process Improvement </w:t>
      </w:r>
    </w:p>
    <w:p w:rsidR="001F75CE" w:rsidRPr="001F75CE" w:rsidRDefault="001F75CE" w:rsidP="001F75CE">
      <w:pPr>
        <w:spacing w:before="100" w:beforeAutospacing="1" w:after="100" w:afterAutospacing="1" w:line="48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lastRenderedPageBreak/>
        <w:t> </w:t>
      </w:r>
    </w:p>
    <w:p w:rsidR="001F75CE" w:rsidRPr="001F75CE" w:rsidRDefault="001F75CE" w:rsidP="001F75CE">
      <w:pPr>
        <w:spacing w:before="100" w:beforeAutospacing="1" w:after="100" w:afterAutospacing="1" w:line="48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xml:space="preserve">B. </w:t>
      </w:r>
      <w:proofErr w:type="spellStart"/>
      <w:r w:rsidRPr="001F75CE">
        <w:rPr>
          <w:rFonts w:ascii="Times New Roman" w:eastAsia="Times New Roman" w:hAnsi="Times New Roman" w:cs="Times New Roman"/>
          <w:sz w:val="24"/>
          <w:szCs w:val="24"/>
        </w:rPr>
        <w:t>Mechelle</w:t>
      </w:r>
      <w:proofErr w:type="spellEnd"/>
      <w:r w:rsidRPr="001F75CE">
        <w:rPr>
          <w:rFonts w:ascii="Times New Roman" w:eastAsia="Times New Roman" w:hAnsi="Times New Roman" w:cs="Times New Roman"/>
          <w:sz w:val="24"/>
          <w:szCs w:val="24"/>
        </w:rPr>
        <w:t xml:space="preserve"> Lafon</w:t>
      </w:r>
    </w:p>
    <w:p w:rsidR="001F75CE" w:rsidRPr="001F75CE" w:rsidRDefault="001F75CE" w:rsidP="001F75CE">
      <w:pPr>
        <w:spacing w:before="100" w:beforeAutospacing="1" w:after="100" w:afterAutospacing="1" w:line="48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School of Business, Liberty University</w:t>
      </w:r>
    </w:p>
    <w:p w:rsidR="001F75CE" w:rsidRPr="001F75CE" w:rsidRDefault="001F75CE" w:rsidP="001F75CE">
      <w:pPr>
        <w:spacing w:before="100" w:beforeAutospacing="1" w:after="100" w:afterAutospacing="1" w:line="48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w:t>
      </w:r>
    </w:p>
    <w:p w:rsidR="001F75CE" w:rsidRPr="001F75CE" w:rsidRDefault="001F75CE" w:rsidP="001F75CE">
      <w:pPr>
        <w:spacing w:before="100" w:beforeAutospacing="1" w:after="100" w:afterAutospacing="1" w:line="48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w:t>
      </w:r>
    </w:p>
    <w:p w:rsidR="001F75CE" w:rsidRPr="001F75CE" w:rsidRDefault="001F75CE" w:rsidP="001F75CE">
      <w:pPr>
        <w:spacing w:before="100" w:beforeAutospacing="1" w:after="100" w:afterAutospacing="1" w:line="480" w:lineRule="auto"/>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w:t>
      </w:r>
    </w:p>
    <w:p w:rsidR="001F75CE" w:rsidRPr="001F75CE" w:rsidRDefault="001F75CE" w:rsidP="001F75CE">
      <w:pPr>
        <w:spacing w:before="100" w:beforeAutospacing="1" w:after="100" w:afterAutospacing="1" w:line="480" w:lineRule="auto"/>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w:t>
      </w:r>
    </w:p>
    <w:p w:rsidR="001F75CE" w:rsidRPr="001F75CE" w:rsidRDefault="001F75CE" w:rsidP="001F75CE">
      <w:pPr>
        <w:spacing w:before="100" w:beforeAutospacing="1" w:after="100" w:afterAutospacing="1" w:line="48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w:t>
      </w:r>
    </w:p>
    <w:p w:rsidR="001F75CE" w:rsidRPr="001F75CE" w:rsidRDefault="001F75CE" w:rsidP="001F75CE">
      <w:pPr>
        <w:spacing w:before="100" w:beforeAutospacing="1" w:after="100" w:afterAutospacing="1" w:line="48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w:t>
      </w:r>
    </w:p>
    <w:p w:rsidR="001F75CE" w:rsidRPr="001F75CE" w:rsidRDefault="001F75CE" w:rsidP="001F75CE">
      <w:pPr>
        <w:spacing w:before="100" w:beforeAutospacing="1" w:after="100" w:afterAutospacing="1" w:line="480" w:lineRule="auto"/>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w:t>
      </w:r>
    </w:p>
    <w:p w:rsidR="001F75CE" w:rsidRPr="001F75CE" w:rsidRDefault="001F75CE" w:rsidP="001F75CE">
      <w:pPr>
        <w:spacing w:before="100" w:beforeAutospacing="1" w:after="100" w:afterAutospacing="1" w:line="48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t xml:space="preserve">Author Note </w:t>
      </w:r>
    </w:p>
    <w:p w:rsidR="001F75CE" w:rsidRPr="001F75CE" w:rsidRDefault="001F75CE" w:rsidP="001F75CE">
      <w:pPr>
        <w:spacing w:before="100" w:beforeAutospacing="1" w:after="100" w:afterAutospacing="1" w:line="480" w:lineRule="auto"/>
        <w:ind w:firstLine="720"/>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xml:space="preserve">B. </w:t>
      </w:r>
      <w:proofErr w:type="spellStart"/>
      <w:r w:rsidRPr="001F75CE">
        <w:rPr>
          <w:rFonts w:ascii="Times New Roman" w:eastAsia="Times New Roman" w:hAnsi="Times New Roman" w:cs="Times New Roman"/>
          <w:sz w:val="24"/>
          <w:szCs w:val="24"/>
        </w:rPr>
        <w:t>Mechelle</w:t>
      </w:r>
      <w:proofErr w:type="spellEnd"/>
      <w:r w:rsidRPr="001F75CE">
        <w:rPr>
          <w:rFonts w:ascii="Times New Roman" w:eastAsia="Times New Roman" w:hAnsi="Times New Roman" w:cs="Times New Roman"/>
          <w:sz w:val="24"/>
          <w:szCs w:val="24"/>
        </w:rPr>
        <w:t xml:space="preserve"> Lafon</w:t>
      </w:r>
    </w:p>
    <w:p w:rsidR="001F75CE" w:rsidRPr="001F75CE" w:rsidRDefault="001F75CE" w:rsidP="001F75CE">
      <w:pPr>
        <w:spacing w:before="100" w:beforeAutospacing="1" w:after="100" w:afterAutospacing="1" w:line="480" w:lineRule="auto"/>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xml:space="preserve">            I have no known conflict of interest to disclose. </w:t>
      </w:r>
    </w:p>
    <w:p w:rsidR="001F75CE" w:rsidRPr="001F75CE" w:rsidRDefault="001F75CE" w:rsidP="001F75CE">
      <w:pPr>
        <w:spacing w:before="100" w:beforeAutospacing="1" w:after="100" w:afterAutospacing="1" w:line="480" w:lineRule="auto"/>
        <w:ind w:firstLine="720"/>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xml:space="preserve">Correspondence concerning this article should be addressed to B. </w:t>
      </w:r>
      <w:proofErr w:type="spellStart"/>
      <w:r w:rsidRPr="001F75CE">
        <w:rPr>
          <w:rFonts w:ascii="Times New Roman" w:eastAsia="Times New Roman" w:hAnsi="Times New Roman" w:cs="Times New Roman"/>
          <w:sz w:val="24"/>
          <w:szCs w:val="24"/>
        </w:rPr>
        <w:t>Mechelle</w:t>
      </w:r>
      <w:proofErr w:type="spellEnd"/>
      <w:r w:rsidRPr="001F75CE">
        <w:rPr>
          <w:rFonts w:ascii="Times New Roman" w:eastAsia="Times New Roman" w:hAnsi="Times New Roman" w:cs="Times New Roman"/>
          <w:sz w:val="24"/>
          <w:szCs w:val="24"/>
        </w:rPr>
        <w:t xml:space="preserve"> Lafon </w:t>
      </w:r>
    </w:p>
    <w:p w:rsidR="001F75CE" w:rsidRPr="001F75CE" w:rsidRDefault="001F75CE" w:rsidP="001F75CE">
      <w:pPr>
        <w:spacing w:before="100" w:beforeAutospacing="1" w:after="100" w:afterAutospacing="1" w:line="480" w:lineRule="auto"/>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xml:space="preserve">Email: </w:t>
      </w:r>
      <w:hyperlink r:id="rId7" w:history="1">
        <w:r w:rsidRPr="001F75CE">
          <w:rPr>
            <w:rFonts w:ascii="Times New Roman" w:eastAsia="Times New Roman" w:hAnsi="Times New Roman" w:cs="Times New Roman"/>
            <w:color w:val="0000FF"/>
            <w:sz w:val="24"/>
            <w:szCs w:val="24"/>
            <w:u w:val="single"/>
          </w:rPr>
          <w:t>mlafon1@liberty.edu</w:t>
        </w:r>
      </w:hyperlink>
    </w:p>
    <w:p w:rsidR="001F75CE" w:rsidRPr="001F75CE" w:rsidRDefault="001F75CE" w:rsidP="001F75CE">
      <w:pPr>
        <w:spacing w:before="100" w:beforeAutospacing="1" w:after="100" w:afterAutospacing="1" w:line="48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w:t>
      </w:r>
    </w:p>
    <w:p w:rsidR="001F75CE" w:rsidRPr="001F75CE" w:rsidRDefault="001F75CE" w:rsidP="001F75CE">
      <w:pPr>
        <w:spacing w:before="100" w:beforeAutospacing="1" w:after="100" w:afterAutospacing="1" w:line="48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lastRenderedPageBreak/>
        <w:t xml:space="preserve">Discussion Board 2 – Team Principles in Quality and Process Improvement </w:t>
      </w:r>
    </w:p>
    <w:p w:rsidR="001F75CE" w:rsidRPr="001F75CE" w:rsidRDefault="001F75CE" w:rsidP="001F75CE">
      <w:pPr>
        <w:spacing w:before="100" w:beforeAutospacing="1" w:after="100" w:afterAutospacing="1" w:line="48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t>Curmudgeons</w:t>
      </w:r>
    </w:p>
    <w:p w:rsidR="001F75CE" w:rsidRPr="001F75CE" w:rsidRDefault="001F75CE" w:rsidP="001F75CE">
      <w:pPr>
        <w:spacing w:before="100" w:beforeAutospacing="1" w:after="100" w:afterAutospacing="1" w:line="480" w:lineRule="auto"/>
        <w:ind w:firstLine="720"/>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xml:space="preserve">Change in an organization’s processes is difficult. Employees become settled in their daily routine and just the mention of change can send them spiraling. In fact, </w:t>
      </w:r>
      <w:proofErr w:type="spellStart"/>
      <w:r w:rsidRPr="001F75CE">
        <w:rPr>
          <w:rFonts w:ascii="Times New Roman" w:eastAsia="Times New Roman" w:hAnsi="Times New Roman" w:cs="Times New Roman"/>
          <w:sz w:val="24"/>
          <w:szCs w:val="24"/>
        </w:rPr>
        <w:t>Starbird</w:t>
      </w:r>
      <w:proofErr w:type="spellEnd"/>
      <w:r w:rsidRPr="001F75CE">
        <w:rPr>
          <w:rFonts w:ascii="Times New Roman" w:eastAsia="Times New Roman" w:hAnsi="Times New Roman" w:cs="Times New Roman"/>
          <w:sz w:val="24"/>
          <w:szCs w:val="24"/>
        </w:rPr>
        <w:t xml:space="preserve"> and Cavanagh (2011) describe change as “an emotional adventure” and lists the four phases in the cycle of change comparing them to the grieving cycle (p. 91). In a study to understand why employees either champion or challenge change, Fugate and </w:t>
      </w:r>
      <w:proofErr w:type="spellStart"/>
      <w:r w:rsidRPr="001F75CE">
        <w:rPr>
          <w:rFonts w:ascii="Times New Roman" w:eastAsia="Times New Roman" w:hAnsi="Times New Roman" w:cs="Times New Roman"/>
          <w:sz w:val="24"/>
          <w:szCs w:val="24"/>
        </w:rPr>
        <w:t>Soenen</w:t>
      </w:r>
      <w:proofErr w:type="spellEnd"/>
      <w:r w:rsidRPr="001F75CE">
        <w:rPr>
          <w:rFonts w:ascii="Times New Roman" w:eastAsia="Times New Roman" w:hAnsi="Times New Roman" w:cs="Times New Roman"/>
          <w:sz w:val="24"/>
          <w:szCs w:val="24"/>
        </w:rPr>
        <w:t xml:space="preserve"> (2018) found, among other things, that there is a positive correlation between challenging change and a dispositional resistance to change, which means an individual employee is the factor (p. 109). No one is more vocally against a change in a process than a curmudgeon. A curmudgeon, as defined by </w:t>
      </w:r>
      <w:proofErr w:type="spellStart"/>
      <w:r w:rsidRPr="001F75CE">
        <w:rPr>
          <w:rFonts w:ascii="Times New Roman" w:eastAsia="Times New Roman" w:hAnsi="Times New Roman" w:cs="Times New Roman"/>
          <w:sz w:val="24"/>
          <w:szCs w:val="24"/>
        </w:rPr>
        <w:t>Starbird</w:t>
      </w:r>
      <w:proofErr w:type="spellEnd"/>
      <w:r w:rsidRPr="001F75CE">
        <w:rPr>
          <w:rFonts w:ascii="Times New Roman" w:eastAsia="Times New Roman" w:hAnsi="Times New Roman" w:cs="Times New Roman"/>
          <w:sz w:val="24"/>
          <w:szCs w:val="24"/>
        </w:rPr>
        <w:t xml:space="preserve"> and Cavanagh (2011) is an employee that offers an opinion on everything and that opinion is usually contrary to management’s position (p. 82). Curmudgeon seem to enjoy complaining and, even if their performance is above satisfactory, they can be a significant bottleneck in improving a process.</w:t>
      </w:r>
    </w:p>
    <w:p w:rsidR="001F75CE" w:rsidRPr="001F75CE" w:rsidRDefault="001F75CE" w:rsidP="001F75CE">
      <w:pPr>
        <w:spacing w:before="100" w:beforeAutospacing="1" w:after="100" w:afterAutospacing="1" w:line="480" w:lineRule="auto"/>
        <w:ind w:firstLine="720"/>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xml:space="preserve">In the writer’s career, the implementation or significant upgrade of an enterprise resource planning system (ERP) has brought about a lot of resistance to change especially from the curmudgeon(s). An ERP is a “centralized database that collects data” from the different divisions/departments within an organization (Richardson et al., 2021, p. 14). Since it is centralized, that data is available to “all enterprise system users, including accounting, manufacturing, marketing, and human resources” (Richardson et al., 2021, p. 14). The purpose of an ERP is to improve the efficiency of the organization by automating processes and providing users with necessary information needed to make decisions. ERPs will cost an organization </w:t>
      </w:r>
      <w:r w:rsidRPr="001F75CE">
        <w:rPr>
          <w:rFonts w:ascii="Times New Roman" w:eastAsia="Times New Roman" w:hAnsi="Times New Roman" w:cs="Times New Roman"/>
          <w:sz w:val="24"/>
          <w:szCs w:val="24"/>
        </w:rPr>
        <w:lastRenderedPageBreak/>
        <w:t xml:space="preserve">millions of dollars. If a curmudgeon is not onboard with the changes brought about by a new system or system update, they can sow seeds of mistrust resulting in a group of employees who will waste time and money by not utilizing all of the ERP functions. For example, if a system will automatically reconcile an account based on inputs, a curmudgeon may begrudgingly use the system, but may still perform a manual reconciliation stating that the system does not work. </w:t>
      </w:r>
    </w:p>
    <w:p w:rsidR="001F75CE" w:rsidRPr="001F75CE" w:rsidRDefault="001F75CE" w:rsidP="001F75CE">
      <w:pPr>
        <w:spacing w:before="100" w:beforeAutospacing="1" w:after="100" w:afterAutospacing="1" w:line="480" w:lineRule="auto"/>
        <w:ind w:firstLine="720"/>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xml:space="preserve">The solution to the curmudgeon problem is to identify the bottleneck source in the initial planning phase and communicate the benefits of the system early on. The curmudgeon can also be a part of the implementation team, which will give an ownership stake in the success of the project. The curmudgeon is able to voice his or her concerns, but as an active participant and not sowing seeds of opposition. In organizing an implementation team, representatives from affected work groups should be included so all potential pitfalls can be adequately addressed. Based on their experience, </w:t>
      </w:r>
      <w:proofErr w:type="spellStart"/>
      <w:r w:rsidRPr="001F75CE">
        <w:rPr>
          <w:rFonts w:ascii="Times New Roman" w:eastAsia="Times New Roman" w:hAnsi="Times New Roman" w:cs="Times New Roman"/>
          <w:sz w:val="24"/>
          <w:szCs w:val="24"/>
        </w:rPr>
        <w:t>Starbird</w:t>
      </w:r>
      <w:proofErr w:type="spellEnd"/>
      <w:r w:rsidRPr="001F75CE">
        <w:rPr>
          <w:rFonts w:ascii="Times New Roman" w:eastAsia="Times New Roman" w:hAnsi="Times New Roman" w:cs="Times New Roman"/>
          <w:sz w:val="24"/>
          <w:szCs w:val="24"/>
        </w:rPr>
        <w:t xml:space="preserve"> and Cavanagh (2011) suggest that a team works well with “seven or eight members with the right technical and social skills, people who are connected to the work being studied and capable of representing the rest of the producing workers” (p. 80). Of that seven or eight, only one should be a curmudgeon and could be viewed as the devil’s advocate. </w:t>
      </w:r>
      <w:proofErr w:type="spellStart"/>
      <w:r w:rsidRPr="001F75CE">
        <w:rPr>
          <w:rFonts w:ascii="Times New Roman" w:eastAsia="Times New Roman" w:hAnsi="Times New Roman" w:cs="Times New Roman"/>
          <w:sz w:val="24"/>
          <w:szCs w:val="24"/>
        </w:rPr>
        <w:t>Blocher</w:t>
      </w:r>
      <w:proofErr w:type="spellEnd"/>
      <w:r w:rsidRPr="001F75CE">
        <w:rPr>
          <w:rFonts w:ascii="Times New Roman" w:eastAsia="Times New Roman" w:hAnsi="Times New Roman" w:cs="Times New Roman"/>
          <w:sz w:val="24"/>
          <w:szCs w:val="24"/>
        </w:rPr>
        <w:t xml:space="preserve"> et al. (2019) discusses participation in regards to budgeting, but the same principles apply to an improvement project. An improvement project will always include a budget. A participatory budget is a “bottom-up approach that involves the people affected by the budget”, which can lead to commitment to the process by the employees (</w:t>
      </w:r>
      <w:proofErr w:type="spellStart"/>
      <w:r w:rsidRPr="001F75CE">
        <w:rPr>
          <w:rFonts w:ascii="Times New Roman" w:eastAsia="Times New Roman" w:hAnsi="Times New Roman" w:cs="Times New Roman"/>
          <w:sz w:val="24"/>
          <w:szCs w:val="24"/>
        </w:rPr>
        <w:t>Blocher</w:t>
      </w:r>
      <w:proofErr w:type="spellEnd"/>
      <w:r w:rsidRPr="001F75CE">
        <w:rPr>
          <w:rFonts w:ascii="Times New Roman" w:eastAsia="Times New Roman" w:hAnsi="Times New Roman" w:cs="Times New Roman"/>
          <w:sz w:val="24"/>
          <w:szCs w:val="24"/>
        </w:rPr>
        <w:t xml:space="preserve"> et al., 2019, p. 382). Mello (2019) concurs by stating that “no one knows a job better than the person doing it” (pp. 200 – 201). The employee performing the day-to-day tasks has a better insight to the actual nature of the tasks involved. In terms of the representatives on the implementation team, </w:t>
      </w:r>
      <w:r w:rsidRPr="001F75CE">
        <w:rPr>
          <w:rFonts w:ascii="Times New Roman" w:eastAsia="Times New Roman" w:hAnsi="Times New Roman" w:cs="Times New Roman"/>
          <w:sz w:val="24"/>
          <w:szCs w:val="24"/>
        </w:rPr>
        <w:lastRenderedPageBreak/>
        <w:t>including the curmudgeon, Mello (2019) says that “employees who are the most influential should be consulted in efforts to gain their support” (p. 201).     </w:t>
      </w:r>
    </w:p>
    <w:p w:rsidR="001F75CE" w:rsidRPr="001F75CE" w:rsidRDefault="001F75CE" w:rsidP="001F75CE">
      <w:pPr>
        <w:spacing w:before="100" w:beforeAutospacing="1" w:after="100" w:afterAutospacing="1" w:line="480" w:lineRule="auto"/>
        <w:ind w:firstLine="720"/>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A curmudgeon could be an organization’s biggest hindrance or could be their biggest proponent depending on how communication is handled. Good communication is the key to success.  </w:t>
      </w:r>
    </w:p>
    <w:p w:rsidR="001F75CE" w:rsidRPr="001F75CE" w:rsidRDefault="001F75CE" w:rsidP="001F75CE">
      <w:pPr>
        <w:spacing w:before="100" w:beforeAutospacing="1" w:after="100" w:afterAutospacing="1" w:line="480" w:lineRule="auto"/>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t> </w:t>
      </w:r>
    </w:p>
    <w:p w:rsidR="001F75CE" w:rsidRPr="001F75CE" w:rsidRDefault="001F75CE" w:rsidP="001F75CE">
      <w:pPr>
        <w:spacing w:before="100" w:beforeAutospacing="1" w:after="100" w:afterAutospacing="1" w:line="480" w:lineRule="auto"/>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t> </w:t>
      </w:r>
    </w:p>
    <w:p w:rsidR="001F75CE" w:rsidRPr="001F75CE" w:rsidRDefault="001F75CE" w:rsidP="001F75CE">
      <w:pPr>
        <w:spacing w:before="100" w:beforeAutospacing="1" w:after="100" w:afterAutospacing="1" w:line="480" w:lineRule="auto"/>
        <w:jc w:val="center"/>
        <w:rPr>
          <w:rFonts w:ascii="Times New Roman" w:eastAsia="Times New Roman" w:hAnsi="Times New Roman" w:cs="Times New Roman"/>
          <w:sz w:val="24"/>
          <w:szCs w:val="24"/>
        </w:rPr>
      </w:pPr>
      <w:r w:rsidRPr="001F75CE">
        <w:rPr>
          <w:rFonts w:ascii="Times New Roman" w:eastAsia="Times New Roman" w:hAnsi="Times New Roman" w:cs="Times New Roman"/>
          <w:b/>
          <w:bCs/>
          <w:sz w:val="24"/>
          <w:szCs w:val="24"/>
        </w:rPr>
        <w:t>References</w:t>
      </w:r>
    </w:p>
    <w:p w:rsidR="001F75CE" w:rsidRPr="001F75CE" w:rsidRDefault="001F75CE" w:rsidP="001F75CE">
      <w:pPr>
        <w:spacing w:before="100" w:beforeAutospacing="1" w:after="100" w:afterAutospacing="1" w:line="480" w:lineRule="auto"/>
        <w:rPr>
          <w:rFonts w:ascii="Times New Roman" w:eastAsia="Times New Roman" w:hAnsi="Times New Roman" w:cs="Times New Roman"/>
          <w:sz w:val="24"/>
          <w:szCs w:val="24"/>
        </w:rPr>
      </w:pPr>
      <w:proofErr w:type="spellStart"/>
      <w:r w:rsidRPr="001F75CE">
        <w:rPr>
          <w:rFonts w:ascii="Times New Roman" w:eastAsia="Times New Roman" w:hAnsi="Times New Roman" w:cs="Times New Roman"/>
          <w:sz w:val="24"/>
          <w:szCs w:val="24"/>
        </w:rPr>
        <w:t>Blocher</w:t>
      </w:r>
      <w:proofErr w:type="spellEnd"/>
      <w:r w:rsidRPr="001F75CE">
        <w:rPr>
          <w:rFonts w:ascii="Times New Roman" w:eastAsia="Times New Roman" w:hAnsi="Times New Roman" w:cs="Times New Roman"/>
          <w:sz w:val="24"/>
          <w:szCs w:val="24"/>
        </w:rPr>
        <w:t xml:space="preserve">, E., Stout, D., </w:t>
      </w:r>
      <w:proofErr w:type="spellStart"/>
      <w:r w:rsidRPr="001F75CE">
        <w:rPr>
          <w:rFonts w:ascii="Times New Roman" w:eastAsia="Times New Roman" w:hAnsi="Times New Roman" w:cs="Times New Roman"/>
          <w:sz w:val="24"/>
          <w:szCs w:val="24"/>
        </w:rPr>
        <w:t>Juras</w:t>
      </w:r>
      <w:proofErr w:type="spellEnd"/>
      <w:r w:rsidRPr="001F75CE">
        <w:rPr>
          <w:rFonts w:ascii="Times New Roman" w:eastAsia="Times New Roman" w:hAnsi="Times New Roman" w:cs="Times New Roman"/>
          <w:sz w:val="24"/>
          <w:szCs w:val="24"/>
        </w:rPr>
        <w:t xml:space="preserve">, P., &amp; Smith, S. (2019). </w:t>
      </w:r>
      <w:r w:rsidRPr="001F75CE">
        <w:rPr>
          <w:rFonts w:ascii="Times New Roman" w:eastAsia="Times New Roman" w:hAnsi="Times New Roman" w:cs="Times New Roman"/>
          <w:i/>
          <w:iCs/>
          <w:sz w:val="24"/>
          <w:szCs w:val="24"/>
        </w:rPr>
        <w:t>Cost management: A strategic emphasis</w:t>
      </w:r>
      <w:bookmarkStart w:id="0" w:name="_GoBack"/>
      <w:bookmarkEnd w:id="0"/>
      <w:r w:rsidRPr="001F75CE">
        <w:rPr>
          <w:rFonts w:ascii="Times New Roman" w:eastAsia="Times New Roman" w:hAnsi="Times New Roman" w:cs="Times New Roman"/>
          <w:sz w:val="24"/>
          <w:szCs w:val="24"/>
        </w:rPr>
        <w:t xml:space="preserve"> (8</w:t>
      </w:r>
      <w:r w:rsidRPr="001F75CE">
        <w:rPr>
          <w:rFonts w:ascii="Times New Roman" w:eastAsia="Times New Roman" w:hAnsi="Times New Roman" w:cs="Times New Roman"/>
          <w:sz w:val="24"/>
          <w:szCs w:val="24"/>
          <w:vertAlign w:val="superscript"/>
        </w:rPr>
        <w:t>th</w:t>
      </w:r>
      <w:r w:rsidRPr="001F75CE">
        <w:rPr>
          <w:rFonts w:ascii="Times New Roman" w:eastAsia="Times New Roman" w:hAnsi="Times New Roman" w:cs="Times New Roman"/>
          <w:sz w:val="24"/>
          <w:szCs w:val="24"/>
        </w:rPr>
        <w:t xml:space="preserve"> ed.). Boston, MA: McGraw-Hill. ISBN: 9781260165180. </w:t>
      </w:r>
    </w:p>
    <w:p w:rsidR="001F75CE" w:rsidRPr="001F75CE" w:rsidRDefault="001F75CE" w:rsidP="001F75CE">
      <w:pPr>
        <w:spacing w:before="100" w:beforeAutospacing="1" w:after="100" w:afterAutospacing="1" w:line="480" w:lineRule="auto"/>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xml:space="preserve">Fugate, M., &amp; </w:t>
      </w:r>
      <w:proofErr w:type="spellStart"/>
      <w:r w:rsidRPr="001F75CE">
        <w:rPr>
          <w:rFonts w:ascii="Times New Roman" w:eastAsia="Times New Roman" w:hAnsi="Times New Roman" w:cs="Times New Roman"/>
          <w:sz w:val="24"/>
          <w:szCs w:val="24"/>
        </w:rPr>
        <w:t>Soenen</w:t>
      </w:r>
      <w:proofErr w:type="spellEnd"/>
      <w:r w:rsidRPr="001F75CE">
        <w:rPr>
          <w:rFonts w:ascii="Times New Roman" w:eastAsia="Times New Roman" w:hAnsi="Times New Roman" w:cs="Times New Roman"/>
          <w:sz w:val="24"/>
          <w:szCs w:val="24"/>
        </w:rPr>
        <w:t>, G. (2018). Predictors and processes related to employees’ change‐related     compliance and championing. </w:t>
      </w:r>
      <w:r w:rsidRPr="001F75CE">
        <w:rPr>
          <w:rFonts w:ascii="Times New Roman" w:eastAsia="Times New Roman" w:hAnsi="Times New Roman" w:cs="Times New Roman"/>
          <w:i/>
          <w:iCs/>
          <w:sz w:val="24"/>
          <w:szCs w:val="24"/>
        </w:rPr>
        <w:t>Personnel Psychology, 71</w:t>
      </w:r>
      <w:r w:rsidRPr="001F75CE">
        <w:rPr>
          <w:rFonts w:ascii="Times New Roman" w:eastAsia="Times New Roman" w:hAnsi="Times New Roman" w:cs="Times New Roman"/>
          <w:sz w:val="24"/>
          <w:szCs w:val="24"/>
        </w:rPr>
        <w:t>(1), 109-132.</w:t>
      </w:r>
    </w:p>
    <w:p w:rsidR="001F75CE" w:rsidRPr="001F75CE" w:rsidRDefault="001F75CE" w:rsidP="001F75CE">
      <w:pPr>
        <w:spacing w:before="100" w:beforeAutospacing="1" w:after="100" w:afterAutospacing="1" w:line="480" w:lineRule="auto"/>
        <w:rPr>
          <w:rFonts w:ascii="Times New Roman" w:eastAsia="Times New Roman" w:hAnsi="Times New Roman" w:cs="Times New Roman"/>
          <w:sz w:val="24"/>
          <w:szCs w:val="24"/>
        </w:rPr>
      </w:pPr>
      <w:r w:rsidRPr="001F75CE">
        <w:rPr>
          <w:rFonts w:ascii="Times New Roman" w:eastAsia="Times New Roman" w:hAnsi="Times New Roman" w:cs="Times New Roman"/>
          <w:sz w:val="24"/>
          <w:szCs w:val="24"/>
        </w:rPr>
        <w:t xml:space="preserve">Mello, J.A. (2019). </w:t>
      </w:r>
      <w:r w:rsidRPr="001F75CE">
        <w:rPr>
          <w:rFonts w:ascii="Times New Roman" w:eastAsia="Times New Roman" w:hAnsi="Times New Roman" w:cs="Times New Roman"/>
          <w:i/>
          <w:iCs/>
          <w:sz w:val="24"/>
          <w:szCs w:val="24"/>
        </w:rPr>
        <w:t>Strategic human resource management</w:t>
      </w:r>
      <w:r w:rsidRPr="001F75CE">
        <w:rPr>
          <w:rFonts w:ascii="Times New Roman" w:eastAsia="Times New Roman" w:hAnsi="Times New Roman" w:cs="Times New Roman"/>
          <w:sz w:val="24"/>
          <w:szCs w:val="24"/>
        </w:rPr>
        <w:t xml:space="preserve"> (5</w:t>
      </w:r>
      <w:r w:rsidRPr="001F75CE">
        <w:rPr>
          <w:rFonts w:ascii="Times New Roman" w:eastAsia="Times New Roman" w:hAnsi="Times New Roman" w:cs="Times New Roman"/>
          <w:sz w:val="24"/>
          <w:szCs w:val="24"/>
          <w:vertAlign w:val="superscript"/>
        </w:rPr>
        <w:t>th</w:t>
      </w:r>
      <w:r w:rsidRPr="001F75CE">
        <w:rPr>
          <w:rFonts w:ascii="Times New Roman" w:eastAsia="Times New Roman" w:hAnsi="Times New Roman" w:cs="Times New Roman"/>
          <w:sz w:val="24"/>
          <w:szCs w:val="24"/>
        </w:rPr>
        <w:t xml:space="preserve"> </w:t>
      </w:r>
      <w:proofErr w:type="gramStart"/>
      <w:r w:rsidRPr="001F75CE">
        <w:rPr>
          <w:rFonts w:ascii="Times New Roman" w:eastAsia="Times New Roman" w:hAnsi="Times New Roman" w:cs="Times New Roman"/>
          <w:sz w:val="24"/>
          <w:szCs w:val="24"/>
        </w:rPr>
        <w:t>ed</w:t>
      </w:r>
      <w:proofErr w:type="gramEnd"/>
      <w:r w:rsidRPr="001F75CE">
        <w:rPr>
          <w:rFonts w:ascii="Times New Roman" w:eastAsia="Times New Roman" w:hAnsi="Times New Roman" w:cs="Times New Roman"/>
          <w:sz w:val="24"/>
          <w:szCs w:val="24"/>
        </w:rPr>
        <w:t xml:space="preserve">.). Mason, OH: South-Western. </w:t>
      </w:r>
    </w:p>
    <w:p w:rsidR="001F75CE" w:rsidRPr="001F75CE" w:rsidRDefault="001F75CE" w:rsidP="001F75CE">
      <w:pPr>
        <w:spacing w:before="100" w:beforeAutospacing="1" w:after="100" w:afterAutospacing="1" w:line="480" w:lineRule="auto"/>
        <w:rPr>
          <w:rFonts w:ascii="Times New Roman" w:eastAsia="Times New Roman" w:hAnsi="Times New Roman" w:cs="Times New Roman"/>
          <w:sz w:val="24"/>
          <w:szCs w:val="24"/>
        </w:rPr>
      </w:pPr>
      <w:proofErr w:type="spellStart"/>
      <w:r w:rsidRPr="001F75CE">
        <w:rPr>
          <w:rFonts w:ascii="Times New Roman" w:eastAsia="Times New Roman" w:hAnsi="Times New Roman" w:cs="Times New Roman"/>
          <w:color w:val="222222"/>
          <w:sz w:val="24"/>
          <w:szCs w:val="24"/>
          <w:shd w:val="clear" w:color="auto" w:fill="FFFFFF"/>
        </w:rPr>
        <w:t>Starbird</w:t>
      </w:r>
      <w:proofErr w:type="spellEnd"/>
      <w:r w:rsidRPr="001F75CE">
        <w:rPr>
          <w:rFonts w:ascii="Times New Roman" w:eastAsia="Times New Roman" w:hAnsi="Times New Roman" w:cs="Times New Roman"/>
          <w:color w:val="222222"/>
          <w:sz w:val="24"/>
          <w:szCs w:val="24"/>
          <w:shd w:val="clear" w:color="auto" w:fill="FFFFFF"/>
        </w:rPr>
        <w:t>, D., &amp; Cavanagh, R. (2011). Building engaged team performance: Align your processes    and people to achieve game-changing business results. New York, NY: McGraw-Hill.    ISBN: 9780071742269.</w:t>
      </w:r>
    </w:p>
    <w:p w:rsidR="001F75CE" w:rsidRPr="001F75CE" w:rsidRDefault="001F75CE" w:rsidP="001F75CE">
      <w:pPr>
        <w:spacing w:before="100" w:beforeAutospacing="1" w:after="100" w:afterAutospacing="1" w:line="480" w:lineRule="auto"/>
        <w:rPr>
          <w:rFonts w:ascii="Times New Roman" w:eastAsia="Times New Roman" w:hAnsi="Times New Roman" w:cs="Times New Roman"/>
          <w:sz w:val="24"/>
          <w:szCs w:val="24"/>
        </w:rPr>
      </w:pPr>
      <w:r w:rsidRPr="001F75CE">
        <w:rPr>
          <w:rFonts w:ascii="Times New Roman" w:eastAsia="Times New Roman" w:hAnsi="Times New Roman" w:cs="Times New Roman"/>
          <w:color w:val="222222"/>
          <w:sz w:val="24"/>
          <w:szCs w:val="24"/>
          <w:shd w:val="clear" w:color="auto" w:fill="FFFFFF"/>
        </w:rPr>
        <w:t>Richardson, V. J., Chang, C. J., &amp; Smith, R. (2021). Accounting Information Systems (3</w:t>
      </w:r>
      <w:r w:rsidRPr="001F75CE">
        <w:rPr>
          <w:rFonts w:ascii="Times New Roman" w:eastAsia="Times New Roman" w:hAnsi="Times New Roman" w:cs="Times New Roman"/>
          <w:color w:val="222222"/>
          <w:sz w:val="24"/>
          <w:szCs w:val="24"/>
          <w:shd w:val="clear" w:color="auto" w:fill="FFFFFF"/>
          <w:vertAlign w:val="superscript"/>
        </w:rPr>
        <w:t>rd</w:t>
      </w:r>
      <w:r w:rsidRPr="001F75CE">
        <w:rPr>
          <w:rFonts w:ascii="Times New Roman" w:eastAsia="Times New Roman" w:hAnsi="Times New Roman" w:cs="Times New Roman"/>
          <w:color w:val="222222"/>
          <w:sz w:val="24"/>
          <w:szCs w:val="24"/>
          <w:shd w:val="clear" w:color="auto" w:fill="FFFFFF"/>
        </w:rPr>
        <w:t xml:space="preserve"> </w:t>
      </w:r>
      <w:proofErr w:type="gramStart"/>
      <w:r w:rsidRPr="001F75CE">
        <w:rPr>
          <w:rFonts w:ascii="Times New Roman" w:eastAsia="Times New Roman" w:hAnsi="Times New Roman" w:cs="Times New Roman"/>
          <w:color w:val="222222"/>
          <w:sz w:val="24"/>
          <w:szCs w:val="24"/>
          <w:shd w:val="clear" w:color="auto" w:fill="FFFFFF"/>
        </w:rPr>
        <w:t>ed</w:t>
      </w:r>
      <w:proofErr w:type="gramEnd"/>
      <w:r w:rsidRPr="001F75CE">
        <w:rPr>
          <w:rFonts w:ascii="Times New Roman" w:eastAsia="Times New Roman" w:hAnsi="Times New Roman" w:cs="Times New Roman"/>
          <w:color w:val="222222"/>
          <w:sz w:val="24"/>
          <w:szCs w:val="24"/>
          <w:shd w:val="clear" w:color="auto" w:fill="FFFFFF"/>
        </w:rPr>
        <w:t>.).            New York, NY: McGraw-Hill Education.</w:t>
      </w:r>
    </w:p>
    <w:p w:rsidR="001F75CE" w:rsidRPr="001F75CE" w:rsidRDefault="001F75CE" w:rsidP="001F75CE">
      <w:pPr>
        <w:pBdr>
          <w:top w:val="single" w:sz="6" w:space="1" w:color="auto"/>
        </w:pBdr>
        <w:spacing w:after="0" w:line="240" w:lineRule="auto"/>
        <w:jc w:val="center"/>
        <w:rPr>
          <w:rFonts w:ascii="Arial" w:eastAsia="Times New Roman" w:hAnsi="Arial" w:cs="Arial"/>
          <w:vanish/>
          <w:sz w:val="16"/>
          <w:szCs w:val="16"/>
        </w:rPr>
      </w:pPr>
      <w:r w:rsidRPr="001F75CE">
        <w:rPr>
          <w:rFonts w:ascii="Arial" w:eastAsia="Times New Roman" w:hAnsi="Arial" w:cs="Arial"/>
          <w:vanish/>
          <w:sz w:val="16"/>
          <w:szCs w:val="16"/>
        </w:rPr>
        <w:lastRenderedPageBreak/>
        <w:t>Bottom of Form</w:t>
      </w:r>
    </w:p>
    <w:p w:rsidR="001F75CE" w:rsidRPr="001F75CE" w:rsidRDefault="001F75CE" w:rsidP="001F75CE">
      <w:pPr>
        <w:rPr>
          <w:sz w:val="24"/>
          <w:szCs w:val="24"/>
        </w:rPr>
      </w:pPr>
    </w:p>
    <w:p w:rsidR="001F75CE" w:rsidRDefault="001F75CE"/>
    <w:p w:rsidR="001F75CE" w:rsidRDefault="001F75CE"/>
    <w:sectPr w:rsidR="001F75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5CE"/>
    <w:rsid w:val="00050EF7"/>
    <w:rsid w:val="00181D97"/>
    <w:rsid w:val="00196AEB"/>
    <w:rsid w:val="001E4A79"/>
    <w:rsid w:val="001E5584"/>
    <w:rsid w:val="001F75CE"/>
    <w:rsid w:val="00281780"/>
    <w:rsid w:val="00384F11"/>
    <w:rsid w:val="003F0B71"/>
    <w:rsid w:val="005E6FEB"/>
    <w:rsid w:val="00602B7E"/>
    <w:rsid w:val="0062186D"/>
    <w:rsid w:val="007632DB"/>
    <w:rsid w:val="00787283"/>
    <w:rsid w:val="0080799D"/>
    <w:rsid w:val="00831BBD"/>
    <w:rsid w:val="00904F65"/>
    <w:rsid w:val="00915C8B"/>
    <w:rsid w:val="00946FD8"/>
    <w:rsid w:val="00962925"/>
    <w:rsid w:val="009C4849"/>
    <w:rsid w:val="009C6DAF"/>
    <w:rsid w:val="009E32E6"/>
    <w:rsid w:val="00A447CA"/>
    <w:rsid w:val="00A71242"/>
    <w:rsid w:val="00AB7DA9"/>
    <w:rsid w:val="00B6017C"/>
    <w:rsid w:val="00B80120"/>
    <w:rsid w:val="00BB3529"/>
    <w:rsid w:val="00CA6C29"/>
    <w:rsid w:val="00D84F7A"/>
    <w:rsid w:val="00DC186F"/>
    <w:rsid w:val="00DC70BB"/>
    <w:rsid w:val="00E121F3"/>
    <w:rsid w:val="00E35225"/>
    <w:rsid w:val="00EB68EC"/>
    <w:rsid w:val="00F11B0C"/>
    <w:rsid w:val="00F73944"/>
    <w:rsid w:val="00F7487F"/>
    <w:rsid w:val="00FC3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4669AB-43C9-4306-B6DE-3FFAD33E7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F75CE"/>
    <w:rPr>
      <w:color w:val="0000FF"/>
      <w:u w:val="single"/>
    </w:rPr>
  </w:style>
  <w:style w:type="paragraph" w:styleId="z-TopofForm">
    <w:name w:val="HTML Top of Form"/>
    <w:basedOn w:val="Normal"/>
    <w:next w:val="Normal"/>
    <w:link w:val="z-TopofFormChar"/>
    <w:hidden/>
    <w:uiPriority w:val="99"/>
    <w:semiHidden/>
    <w:unhideWhenUsed/>
    <w:rsid w:val="001F75C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F75CE"/>
    <w:rPr>
      <w:rFonts w:ascii="Arial" w:eastAsia="Times New Roman" w:hAnsi="Arial" w:cs="Arial"/>
      <w:vanish/>
      <w:sz w:val="16"/>
      <w:szCs w:val="16"/>
    </w:rPr>
  </w:style>
  <w:style w:type="paragraph" w:styleId="NormalWeb">
    <w:name w:val="Normal (Web)"/>
    <w:basedOn w:val="Normal"/>
    <w:uiPriority w:val="99"/>
    <w:semiHidden/>
    <w:unhideWhenUsed/>
    <w:rsid w:val="001F75CE"/>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1F75C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F75CE"/>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4943494">
      <w:bodyDiv w:val="1"/>
      <w:marLeft w:val="0"/>
      <w:marRight w:val="0"/>
      <w:marTop w:val="0"/>
      <w:marBottom w:val="0"/>
      <w:divBdr>
        <w:top w:val="none" w:sz="0" w:space="0" w:color="auto"/>
        <w:left w:val="none" w:sz="0" w:space="0" w:color="auto"/>
        <w:bottom w:val="none" w:sz="0" w:space="0" w:color="auto"/>
        <w:right w:val="none" w:sz="0" w:space="0" w:color="auto"/>
      </w:divBdr>
      <w:divsChild>
        <w:div w:id="1504592873">
          <w:marLeft w:val="0"/>
          <w:marRight w:val="0"/>
          <w:marTop w:val="0"/>
          <w:marBottom w:val="0"/>
          <w:divBdr>
            <w:top w:val="none" w:sz="0" w:space="0" w:color="auto"/>
            <w:left w:val="none" w:sz="0" w:space="0" w:color="auto"/>
            <w:bottom w:val="none" w:sz="0" w:space="0" w:color="auto"/>
            <w:right w:val="none" w:sz="0" w:space="0" w:color="auto"/>
          </w:divBdr>
          <w:divsChild>
            <w:div w:id="2097241685">
              <w:marLeft w:val="0"/>
              <w:marRight w:val="0"/>
              <w:marTop w:val="0"/>
              <w:marBottom w:val="0"/>
              <w:divBdr>
                <w:top w:val="none" w:sz="0" w:space="0" w:color="auto"/>
                <w:left w:val="none" w:sz="0" w:space="0" w:color="auto"/>
                <w:bottom w:val="none" w:sz="0" w:space="0" w:color="auto"/>
                <w:right w:val="none" w:sz="0" w:space="0" w:color="auto"/>
              </w:divBdr>
              <w:divsChild>
                <w:div w:id="189337280">
                  <w:marLeft w:val="0"/>
                  <w:marRight w:val="0"/>
                  <w:marTop w:val="0"/>
                  <w:marBottom w:val="0"/>
                  <w:divBdr>
                    <w:top w:val="none" w:sz="0" w:space="0" w:color="auto"/>
                    <w:left w:val="none" w:sz="0" w:space="0" w:color="auto"/>
                    <w:bottom w:val="none" w:sz="0" w:space="0" w:color="auto"/>
                    <w:right w:val="none" w:sz="0" w:space="0" w:color="auto"/>
                  </w:divBdr>
                  <w:divsChild>
                    <w:div w:id="670836337">
                      <w:marLeft w:val="0"/>
                      <w:marRight w:val="0"/>
                      <w:marTop w:val="0"/>
                      <w:marBottom w:val="0"/>
                      <w:divBdr>
                        <w:top w:val="none" w:sz="0" w:space="0" w:color="auto"/>
                        <w:left w:val="none" w:sz="0" w:space="0" w:color="auto"/>
                        <w:bottom w:val="none" w:sz="0" w:space="0" w:color="auto"/>
                        <w:right w:val="none" w:sz="0" w:space="0" w:color="auto"/>
                      </w:divBdr>
                    </w:div>
                    <w:div w:id="1489861074">
                      <w:marLeft w:val="0"/>
                      <w:marRight w:val="0"/>
                      <w:marTop w:val="0"/>
                      <w:marBottom w:val="0"/>
                      <w:divBdr>
                        <w:top w:val="none" w:sz="0" w:space="0" w:color="auto"/>
                        <w:left w:val="none" w:sz="0" w:space="0" w:color="auto"/>
                        <w:bottom w:val="none" w:sz="0" w:space="0" w:color="auto"/>
                        <w:right w:val="none" w:sz="0" w:space="0" w:color="auto"/>
                      </w:divBdr>
                    </w:div>
                  </w:divsChild>
                </w:div>
                <w:div w:id="721639175">
                  <w:marLeft w:val="0"/>
                  <w:marRight w:val="0"/>
                  <w:marTop w:val="0"/>
                  <w:marBottom w:val="0"/>
                  <w:divBdr>
                    <w:top w:val="none" w:sz="0" w:space="0" w:color="auto"/>
                    <w:left w:val="none" w:sz="0" w:space="0" w:color="auto"/>
                    <w:bottom w:val="none" w:sz="0" w:space="0" w:color="auto"/>
                    <w:right w:val="none" w:sz="0" w:space="0" w:color="auto"/>
                  </w:divBdr>
                  <w:divsChild>
                    <w:div w:id="1526358668">
                      <w:marLeft w:val="0"/>
                      <w:marRight w:val="0"/>
                      <w:marTop w:val="0"/>
                      <w:marBottom w:val="0"/>
                      <w:divBdr>
                        <w:top w:val="none" w:sz="0" w:space="0" w:color="auto"/>
                        <w:left w:val="none" w:sz="0" w:space="0" w:color="auto"/>
                        <w:bottom w:val="none" w:sz="0" w:space="0" w:color="auto"/>
                        <w:right w:val="none" w:sz="0" w:space="0" w:color="auto"/>
                      </w:divBdr>
                    </w:div>
                  </w:divsChild>
                </w:div>
                <w:div w:id="1279029633">
                  <w:marLeft w:val="0"/>
                  <w:marRight w:val="0"/>
                  <w:marTop w:val="0"/>
                  <w:marBottom w:val="0"/>
                  <w:divBdr>
                    <w:top w:val="none" w:sz="0" w:space="0" w:color="auto"/>
                    <w:left w:val="none" w:sz="0" w:space="0" w:color="auto"/>
                    <w:bottom w:val="none" w:sz="0" w:space="0" w:color="auto"/>
                    <w:right w:val="none" w:sz="0" w:space="0" w:color="auto"/>
                  </w:divBdr>
                </w:div>
              </w:divsChild>
            </w:div>
            <w:div w:id="118572002">
              <w:marLeft w:val="0"/>
              <w:marRight w:val="0"/>
              <w:marTop w:val="0"/>
              <w:marBottom w:val="0"/>
              <w:divBdr>
                <w:top w:val="none" w:sz="0" w:space="0" w:color="auto"/>
                <w:left w:val="none" w:sz="0" w:space="0" w:color="auto"/>
                <w:bottom w:val="none" w:sz="0" w:space="0" w:color="auto"/>
                <w:right w:val="none" w:sz="0" w:space="0" w:color="auto"/>
              </w:divBdr>
              <w:divsChild>
                <w:div w:id="1786458562">
                  <w:marLeft w:val="0"/>
                  <w:marRight w:val="0"/>
                  <w:marTop w:val="0"/>
                  <w:marBottom w:val="0"/>
                  <w:divBdr>
                    <w:top w:val="none" w:sz="0" w:space="0" w:color="auto"/>
                    <w:left w:val="none" w:sz="0" w:space="0" w:color="auto"/>
                    <w:bottom w:val="none" w:sz="0" w:space="0" w:color="auto"/>
                    <w:right w:val="none" w:sz="0" w:space="0" w:color="auto"/>
                  </w:divBdr>
                  <w:divsChild>
                    <w:div w:id="2082369069">
                      <w:marLeft w:val="0"/>
                      <w:marRight w:val="0"/>
                      <w:marTop w:val="0"/>
                      <w:marBottom w:val="0"/>
                      <w:divBdr>
                        <w:top w:val="none" w:sz="0" w:space="0" w:color="auto"/>
                        <w:left w:val="none" w:sz="0" w:space="0" w:color="auto"/>
                        <w:bottom w:val="none" w:sz="0" w:space="0" w:color="auto"/>
                        <w:right w:val="none" w:sz="0" w:space="0" w:color="auto"/>
                      </w:divBdr>
                      <w:divsChild>
                        <w:div w:id="9702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8109280">
      <w:bodyDiv w:val="1"/>
      <w:marLeft w:val="0"/>
      <w:marRight w:val="0"/>
      <w:marTop w:val="0"/>
      <w:marBottom w:val="0"/>
      <w:divBdr>
        <w:top w:val="none" w:sz="0" w:space="0" w:color="auto"/>
        <w:left w:val="none" w:sz="0" w:space="0" w:color="auto"/>
        <w:bottom w:val="none" w:sz="0" w:space="0" w:color="auto"/>
        <w:right w:val="none" w:sz="0" w:space="0" w:color="auto"/>
      </w:divBdr>
      <w:divsChild>
        <w:div w:id="1616212681">
          <w:marLeft w:val="0"/>
          <w:marRight w:val="0"/>
          <w:marTop w:val="0"/>
          <w:marBottom w:val="0"/>
          <w:divBdr>
            <w:top w:val="none" w:sz="0" w:space="0" w:color="auto"/>
            <w:left w:val="none" w:sz="0" w:space="0" w:color="auto"/>
            <w:bottom w:val="none" w:sz="0" w:space="0" w:color="auto"/>
            <w:right w:val="none" w:sz="0" w:space="0" w:color="auto"/>
          </w:divBdr>
          <w:divsChild>
            <w:div w:id="2085637051">
              <w:marLeft w:val="0"/>
              <w:marRight w:val="0"/>
              <w:marTop w:val="0"/>
              <w:marBottom w:val="0"/>
              <w:divBdr>
                <w:top w:val="none" w:sz="0" w:space="0" w:color="auto"/>
                <w:left w:val="none" w:sz="0" w:space="0" w:color="auto"/>
                <w:bottom w:val="none" w:sz="0" w:space="0" w:color="auto"/>
                <w:right w:val="none" w:sz="0" w:space="0" w:color="auto"/>
              </w:divBdr>
              <w:divsChild>
                <w:div w:id="1423650642">
                  <w:marLeft w:val="0"/>
                  <w:marRight w:val="0"/>
                  <w:marTop w:val="0"/>
                  <w:marBottom w:val="0"/>
                  <w:divBdr>
                    <w:top w:val="none" w:sz="0" w:space="0" w:color="auto"/>
                    <w:left w:val="none" w:sz="0" w:space="0" w:color="auto"/>
                    <w:bottom w:val="none" w:sz="0" w:space="0" w:color="auto"/>
                    <w:right w:val="none" w:sz="0" w:space="0" w:color="auto"/>
                  </w:divBdr>
                </w:div>
              </w:divsChild>
            </w:div>
            <w:div w:id="1572230933">
              <w:marLeft w:val="0"/>
              <w:marRight w:val="0"/>
              <w:marTop w:val="0"/>
              <w:marBottom w:val="0"/>
              <w:divBdr>
                <w:top w:val="none" w:sz="0" w:space="0" w:color="auto"/>
                <w:left w:val="none" w:sz="0" w:space="0" w:color="auto"/>
                <w:bottom w:val="none" w:sz="0" w:space="0" w:color="auto"/>
                <w:right w:val="none" w:sz="0" w:space="0" w:color="auto"/>
              </w:divBdr>
            </w:div>
          </w:divsChild>
        </w:div>
        <w:div w:id="2095004492">
          <w:marLeft w:val="0"/>
          <w:marRight w:val="0"/>
          <w:marTop w:val="0"/>
          <w:marBottom w:val="0"/>
          <w:divBdr>
            <w:top w:val="none" w:sz="0" w:space="0" w:color="auto"/>
            <w:left w:val="none" w:sz="0" w:space="0" w:color="auto"/>
            <w:bottom w:val="none" w:sz="0" w:space="0" w:color="auto"/>
            <w:right w:val="none" w:sz="0" w:space="0" w:color="auto"/>
          </w:divBdr>
          <w:divsChild>
            <w:div w:id="1340891543">
              <w:marLeft w:val="0"/>
              <w:marRight w:val="0"/>
              <w:marTop w:val="0"/>
              <w:marBottom w:val="0"/>
              <w:divBdr>
                <w:top w:val="none" w:sz="0" w:space="0" w:color="auto"/>
                <w:left w:val="none" w:sz="0" w:space="0" w:color="auto"/>
                <w:bottom w:val="none" w:sz="0" w:space="0" w:color="auto"/>
                <w:right w:val="none" w:sz="0" w:space="0" w:color="auto"/>
              </w:divBdr>
              <w:divsChild>
                <w:div w:id="265699471">
                  <w:marLeft w:val="0"/>
                  <w:marRight w:val="0"/>
                  <w:marTop w:val="0"/>
                  <w:marBottom w:val="0"/>
                  <w:divBdr>
                    <w:top w:val="none" w:sz="0" w:space="0" w:color="auto"/>
                    <w:left w:val="none" w:sz="0" w:space="0" w:color="auto"/>
                    <w:bottom w:val="none" w:sz="0" w:space="0" w:color="auto"/>
                    <w:right w:val="none" w:sz="0" w:space="0" w:color="auto"/>
                  </w:divBdr>
                  <w:divsChild>
                    <w:div w:id="6402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lafon1@liberty.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arn.liberty.edu/webapps/discussionboard/do/message?action=list_messages&amp;course_id=_673339_1&amp;nav=discussion_board&amp;conf_id=_1484928_1&amp;forum_id=_3084301_1&amp;message_id=_51983878_1" TargetMode="External"/><Relationship Id="rId5" Type="http://schemas.openxmlformats.org/officeDocument/2006/relationships/image" Target="media/image1.png"/><Relationship Id="rId4" Type="http://schemas.openxmlformats.org/officeDocument/2006/relationships/hyperlink" Target="https://learn.liberty.edu/webapps/discussionboard/do/message?action=list_messages&amp;course_id=_673339_1&amp;nav=discussion_board&amp;conf_id=_1484928_1&amp;forum_id=_3084301_1&amp;message_id=_51967968_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1772</Words>
  <Characters>10105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2020-11-18T23:14:00Z</dcterms:created>
  <dcterms:modified xsi:type="dcterms:W3CDTF">2020-11-18T23:28:00Z</dcterms:modified>
</cp:coreProperties>
</file>